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1084"/>
        <w:spacing w:line="760" w:lineRule="exact"/>
        <w:rPr>
          <w:rFonts w:hint="eastAsia" w:ascii="黑体" w:hAnsi="黑体" w:eastAsia="黑体"/>
          <w:b/>
          <w:sz w:val="36"/>
          <w:szCs w:val="36"/>
        </w:rPr>
      </w:pPr>
      <w:r>
        <w:rPr>
          <w:rFonts w:hint="eastAsia" w:ascii="黑体" w:hAnsi="黑体" w:eastAsia="黑体"/>
          <w:b/>
          <w:sz w:val="36"/>
          <w:szCs w:val="36"/>
        </w:rPr>
        <w:t xml:space="preserve">项目名称: 里运河防洪控制工程委托管理项目</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1084"/>
        <w:spacing w:line="760" w:lineRule="exact"/>
        <w:rPr>
          <w:rFonts w:hint="eastAsia" w:ascii="黑体" w:hAnsi="黑体" w:eastAsia="黑体"/>
          <w:b/>
          <w:sz w:val="36"/>
        </w:rPr>
      </w:pPr>
      <w:r>
        <w:rPr>
          <w:rFonts w:hint="eastAsia" w:ascii="黑体" w:hAnsi="黑体" w:eastAsia="黑体"/>
          <w:b/>
          <w:sz w:val="36"/>
        </w:rPr>
        <w:t xml:space="preserve">项目编号: JSZC-320800-HAZY-C2025-0005</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firstLine="1446"/>
        <w:rPr>
          <w:rFonts w:hint="eastAsia" w:ascii="黑体" w:hAnsi="黑体" w:eastAsia="黑体"/>
          <w:b/>
          <w:sz w:val="36"/>
          <w:szCs w:val="36"/>
        </w:rPr>
      </w:pPr>
      <w:r>
        <w:rPr>
          <w:rFonts w:hint="eastAsia" w:ascii="黑体" w:hAnsi="黑体" w:eastAsia="黑体"/>
          <w:b/>
          <w:sz w:val="36"/>
          <w:szCs w:val="36"/>
        </w:rPr>
        <w:t xml:space="preserve">采购单位：淮安市城市水利工程管理中心</w:t>
      </w:r>
      <w:r/>
    </w:p>
    <w:p>
      <w:pPr>
        <w:ind w:firstLine="2884"/>
        <w:rPr>
          <w:rFonts w:hint="eastAsia" w:ascii="黑体" w:hAnsi="黑体" w:eastAsia="黑体"/>
          <w:b/>
          <w:sz w:val="36"/>
          <w:szCs w:val="36"/>
        </w:rPr>
      </w:pPr>
      <w:r>
        <w:rPr>
          <w:rFonts w:hint="eastAsia" w:ascii="黑体" w:hAnsi="黑体" w:eastAsia="黑体"/>
          <w:b/>
          <w:sz w:val="36"/>
          <w:szCs w:val="36"/>
        </w:rPr>
      </w:r>
      <w:r/>
    </w:p>
    <w:p>
      <w:pPr>
        <w:ind w:firstLine="1446"/>
        <w:rPr>
          <w:rFonts w:hint="eastAsia" w:ascii="黑体" w:hAnsi="黑体" w:eastAsia="黑体"/>
          <w:b/>
          <w:sz w:val="36"/>
          <w:szCs w:val="36"/>
        </w:rPr>
      </w:pPr>
      <w:r>
        <w:rPr>
          <w:rFonts w:hint="eastAsia" w:ascii="黑体" w:hAnsi="黑体" w:eastAsia="黑体"/>
          <w:b/>
          <w:sz w:val="36"/>
          <w:szCs w:val="36"/>
        </w:rPr>
        <w:t xml:space="preserve">代理机构：淮安市政源工程咨询有限公司</w:t>
      </w:r>
      <w:r/>
    </w:p>
    <w:p>
      <w:pPr>
        <w:ind w:firstLine="2692"/>
        <w:tabs>
          <w:tab w:val="center" w:pos="5215" w:leader="none"/>
        </w:tabs>
        <w:rPr>
          <w:rFonts w:hint="eastAsia" w:ascii="黑体" w:hAnsi="黑体" w:eastAsia="黑体"/>
          <w:b/>
          <w:sz w:val="36"/>
          <w:szCs w:val="36"/>
        </w:rPr>
      </w:pPr>
      <w:r>
        <w:rPr>
          <w:rFonts w:hint="eastAsia" w:ascii="黑体" w:hAnsi="黑体" w:eastAsia="黑体"/>
          <w:b/>
          <w:sz w:val="36"/>
          <w:szCs w:val="36"/>
        </w:rPr>
      </w:r>
      <w:r/>
    </w:p>
    <w:p>
      <w:pPr>
        <w:ind w:firstLine="2692"/>
        <w:tabs>
          <w:tab w:val="center" w:pos="5215" w:leader="none"/>
        </w:tabs>
        <w:rPr>
          <w:rFonts w:hint="eastAsia" w:ascii="黑体" w:hAnsi="黑体" w:eastAsia="黑体"/>
          <w:b/>
          <w:bCs/>
          <w:sz w:val="36"/>
          <w:szCs w:val="36"/>
        </w:rPr>
      </w:pPr>
      <w:r>
        <w:rPr>
          <w:rFonts w:hint="eastAsia" w:ascii="黑体" w:hAnsi="黑体" w:eastAsia="黑体"/>
          <w:b/>
          <w:sz w:val="36"/>
          <w:szCs w:val="36"/>
        </w:rPr>
        <w:t xml:space="preserve">二0二五年</w:t>
      </w:r>
      <w:r>
        <w:rPr>
          <w:rFonts w:hint="eastAsia" w:ascii="黑体" w:hAnsi="黑体" w:eastAsia="黑体"/>
          <w:b/>
          <w:sz w:val="36"/>
          <w:szCs w:val="36"/>
          <w:lang w:eastAsia="zh-CN"/>
        </w:rPr>
        <w:t xml:space="preserve">十二</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九</w:t>
      </w:r>
      <w:r>
        <w:rPr>
          <w:rFonts w:hint="eastAsia" w:ascii="黑体" w:hAnsi="黑体" w:eastAsia="黑体"/>
          <w:b/>
          <w:sz w:val="36"/>
          <w:szCs w:val="36"/>
        </w:rPr>
        <w:t xml:space="preserve">日</w:t>
      </w:r>
      <w:r>
        <w:rPr>
          <w:rFonts w:ascii="黑体" w:hAnsi="黑体" w:eastAsia="黑体"/>
          <w:b/>
          <w:sz w:val="36"/>
          <w:szCs w:val="36"/>
        </w:rPr>
        <w:tab/>
      </w:r>
      <w:r/>
    </w:p>
    <w:p>
      <w:pPr>
        <w:ind w:firstLine="2692"/>
        <w:tabs>
          <w:tab w:val="center" w:pos="5215" w:leader="none"/>
        </w:tabs>
        <w:rPr>
          <w:rFonts w:hint="eastAsia" w:ascii="黑体" w:hAnsi="黑体" w:eastAsia="黑体"/>
          <w:b/>
          <w:bCs/>
          <w:sz w:val="36"/>
          <w:szCs w:val="36"/>
        </w:rPr>
      </w:pPr>
      <w:r>
        <w:rPr>
          <w:rFonts w:hint="eastAsia" w:ascii="黑体" w:hAnsi="黑体" w:eastAsia="黑体"/>
          <w:b/>
          <w:bCs/>
          <w:sz w:val="36"/>
          <w:szCs w:val="36"/>
        </w:rPr>
      </w:r>
      <w:r/>
    </w:p>
    <w:p>
      <w:pPr>
        <w:tabs>
          <w:tab w:val="center" w:pos="5215" w:leader="none"/>
        </w:tabs>
        <w:rPr>
          <w:rFonts w:hint="eastAsia" w:ascii="黑体" w:hAnsi="黑体" w:eastAsia="黑体"/>
          <w:b/>
          <w:bCs/>
          <w:sz w:val="36"/>
          <w:szCs w:val="36"/>
        </w:rPr>
      </w:pPr>
      <w:r>
        <w:rPr>
          <w:rFonts w:hint="eastAsia" w:ascii="黑体" w:hAnsi="黑体" w:eastAsia="黑体"/>
          <w:b/>
          <w:bCs/>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hint="eastAsia" w:ascii="仿宋" w:hAnsi="仿宋" w:eastAsia="仿宋"/>
          <w:sz w:val="28"/>
        </w:rPr>
      </w:pPr>
      <w:r>
        <w:rPr>
          <w:rFonts w:hint="eastAsia" w:ascii="仿宋" w:hAnsi="仿宋" w:eastAsia="仿宋"/>
          <w:sz w:val="28"/>
        </w:rPr>
        <w:t xml:space="preserve">受淮安市城市水利工程管理中心的委托，淮安市政源工程咨询有限公司就该单位里运河防洪控制工程委托管理项目进行竞争性磋商采购，现邀请符合条件的供应商参加竞争性磋商。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52880"/>
                <wp:effectExtent l="0" t="0" r="9525" b="0"/>
                <wp:wrapNone/>
                <wp:docPr id="1" name="矩形 2"/>
                <wp:cNvGraphicFramePr/>
                <a:graphic xmlns:a="http://schemas.openxmlformats.org/drawingml/2006/main">
                  <a:graphicData uri="http://schemas.microsoft.com/office/word/2010/wordprocessingShape">
                    <wps:wsp>
                      <wps:cNvPr id="0" name=""/>
                      <wps:cNvSpPr/>
                      <wps:spPr bwMode="auto">
                        <a:xfrm>
                          <a:off x="0" y="0"/>
                          <a:ext cx="6124575" cy="1452880"/>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里运河防洪控制工程委托管理</w:t>
                            </w:r>
                            <w:r>
                              <w:rPr>
                                <w:rFonts w:hint="eastAsia" w:ascii="仿宋" w:hAnsi="仿宋" w:eastAsia="仿宋"/>
                                <w:sz w:val="28"/>
                                <w:szCs w:val="28"/>
                              </w:rPr>
                              <w:t xml:space="preserve">项目的潜在供应商应在淮安市政府采购网（http://czj.huaian.gov.cn/col/13924_326175/index.html）自行免费下载</w:t>
                            </w:r>
                            <w:r>
                              <w:rPr>
                                <w:rFonts w:hint="eastAsia" w:ascii="仿宋" w:hAnsi="仿宋" w:eastAsia="仿宋"/>
                                <w:sz w:val="28"/>
                              </w:rPr>
                              <w:t xml:space="preserve">磋商</w:t>
                            </w:r>
                            <w:r>
                              <w:rPr>
                                <w:rFonts w:hint="eastAsia" w:ascii="仿宋" w:hAnsi="仿宋" w:eastAsia="仿宋"/>
                                <w:sz w:val="28"/>
                                <w:szCs w:val="28"/>
                              </w:rPr>
                              <w:t xml:space="preserve">文件，并于2025年12月19日14点30分（北京时间）前提交响应文件。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4.4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里运河防洪控制工程委托管理</w:t>
                      </w:r>
                      <w:r>
                        <w:rPr>
                          <w:rFonts w:hint="eastAsia" w:ascii="仿宋" w:hAnsi="仿宋" w:eastAsia="仿宋"/>
                          <w:sz w:val="28"/>
                          <w:szCs w:val="28"/>
                        </w:rPr>
                        <w:t xml:space="preserve">项目的潜在供应商应在淮安市政府采购网（http://czj.huaian.gov.cn/col/13924_326175/index.html）自行免费下载</w:t>
                      </w:r>
                      <w:r>
                        <w:rPr>
                          <w:rFonts w:hint="eastAsia" w:ascii="仿宋" w:hAnsi="仿宋" w:eastAsia="仿宋"/>
                          <w:sz w:val="28"/>
                        </w:rPr>
                        <w:t xml:space="preserve">磋商</w:t>
                      </w:r>
                      <w:r>
                        <w:rPr>
                          <w:rFonts w:hint="eastAsia" w:ascii="仿宋" w:hAnsi="仿宋" w:eastAsia="仿宋"/>
                          <w:sz w:val="28"/>
                          <w:szCs w:val="28"/>
                        </w:rPr>
                        <w:t xml:space="preserve">文件，并于2025年12月19日14点30分（北京时间）前提交响应文件。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（一）项目编号:JSZC-320800-HAZY-C2025-0005 </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rPr>
        <w:t xml:space="preserve">里运河防洪控制工程委托管理</w:t>
      </w:r>
      <w:r>
        <w:rPr>
          <w:rFonts w:hint="eastAsia" w:ascii="仿宋" w:hAnsi="仿宋" w:eastAsia="仿宋"/>
          <w:bCs/>
          <w:sz w:val="28"/>
          <w:szCs w:val="28"/>
        </w:rPr>
        <w:t xml:space="preserve">项目</w:t>
      </w:r>
      <w:r/>
    </w:p>
    <w:p>
      <w:pPr>
        <w:ind w:firstLine="565"/>
        <w:spacing w:line="520" w:lineRule="exact"/>
        <w:rPr>
          <w:rFonts w:hint="eastAsia"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142</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142</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w:t>
      </w:r>
      <w:bookmarkStart w:id="0" w:name="OLE_LINK6"/>
      <w:r>
        <w:rPr>
          <w:rFonts w:hint="eastAsia" w:ascii="仿宋" w:hAnsi="仿宋" w:eastAsia="仿宋"/>
          <w:sz w:val="28"/>
          <w:szCs w:val="28"/>
        </w:rPr>
        <w:t xml:space="preserve">里运河防洪控制工程委托管理服务，详见文件采购需求</w:t>
      </w:r>
      <w:bookmarkEnd w:id="0"/>
      <w:r>
        <w:rPr>
          <w:rFonts w:hint="eastAsia" w:ascii="仿宋" w:hAnsi="仿宋" w:eastAsia="仿宋"/>
          <w:sz w:val="28"/>
          <w:szCs w:val="28"/>
        </w:rPr>
        <w:t xml:space="preserve">。</w:t>
      </w:r>
      <w:r/>
    </w:p>
    <w:p>
      <w:pPr>
        <w:ind w:firstLine="565"/>
        <w:spacing w:line="500" w:lineRule="exact"/>
        <w:rPr>
          <w:rFonts w:hint="eastAsia" w:ascii="仿宋" w:hAnsi="仿宋" w:eastAsia="仿宋"/>
          <w:sz w:val="28"/>
          <w:szCs w:val="28"/>
        </w:rPr>
      </w:pPr>
      <w:r>
        <w:rPr>
          <w:rFonts w:hint="eastAsia" w:ascii="仿宋" w:hAnsi="仿宋" w:eastAsia="仿宋"/>
          <w:sz w:val="28"/>
          <w:szCs w:val="28"/>
        </w:rPr>
        <w:t xml:space="preserve">（七）合同履行期限:</w:t>
      </w:r>
      <w:bookmarkStart w:id="1" w:name="OLE_LINK7"/>
      <w:r>
        <w:rPr>
          <w:rFonts w:hint="eastAsia" w:ascii="仿宋" w:hAnsi="仿宋" w:eastAsia="仿宋"/>
          <w:sz w:val="28"/>
          <w:szCs w:val="28"/>
        </w:rPr>
        <w:t xml:space="preserve">合同签订之日起</w:t>
      </w:r>
      <w:bookmarkEnd w:id="1"/>
      <w:r>
        <w:rPr>
          <w:rFonts w:hint="eastAsia" w:ascii="仿宋" w:hAnsi="仿宋" w:eastAsia="仿宋"/>
          <w:sz w:val="28"/>
          <w:szCs w:val="28"/>
        </w:rPr>
        <w:t xml:space="preserve">一年。</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（八）本项目（□是☑否）接受联合体竞争性磋商。</w:t>
      </w:r>
      <w:r/>
    </w:p>
    <w:p>
      <w:pPr>
        <w:ind w:firstLine="565"/>
        <w:spacing w:line="520" w:lineRule="exact"/>
        <w:rPr>
          <w:rFonts w:hint="eastAsia"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hint="eastAsia"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hint="eastAsia" w:ascii="仿宋" w:hAnsi="仿宋" w:eastAsia="仿宋"/>
          <w:sz w:val="28"/>
          <w:szCs w:val="28"/>
          <w:highlight w:val="none"/>
          <w:lang w:val="zh-CN"/>
        </w:rPr>
        <w:t xml:space="preserve">、</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bookmarkStart w:id="2" w:name="OLE_LINK8"/>
      <w:r/>
      <w:bookmarkStart w:id="3" w:name="OLE_LINK1"/>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w:t>
      </w:r>
      <w:bookmarkEnd w:id="2"/>
      <w:r>
        <w:rPr>
          <w:rFonts w:hint="eastAsia" w:ascii="仿宋" w:hAnsi="仿宋" w:eastAsia="仿宋"/>
          <w:sz w:val="28"/>
          <w:szCs w:val="28"/>
        </w:rPr>
        <w:t xml:space="preserve">，具体详见第二章“供应商须知”第36.1项</w:t>
      </w:r>
      <w:r>
        <w:rPr>
          <w:rFonts w:hint="eastAsia" w:ascii="仿宋" w:hAnsi="仿宋" w:eastAsia="仿宋"/>
          <w:sz w:val="28"/>
          <w:szCs w:val="28"/>
          <w:lang w:val="zh-CN"/>
        </w:rPr>
        <w:t xml:space="preserve">。</w:t>
      </w:r>
      <w:bookmarkEnd w:id="3"/>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sz w:val="28"/>
          <w:szCs w:val="28"/>
        </w:rPr>
        <w:t xml:space="preserve">（三）本项目的特定资格要求:无。</w:t>
      </w:r>
      <w:r/>
    </w:p>
    <w:p>
      <w:pPr>
        <w:ind w:firstLine="560"/>
        <w:spacing w:line="520" w:lineRule="exact"/>
        <w:rPr>
          <w:rFonts w:hint="eastAsia"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方式：在“淮安市政府采购网”自行免费下载磋商文件。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磋商文件并进行操作。</w:t>
      </w:r>
      <w:r/>
    </w:p>
    <w:p>
      <w:pPr>
        <w:ind w:firstLine="565"/>
        <w:spacing w:line="500" w:lineRule="exact"/>
        <w:rPr>
          <w:rFonts w:hint="eastAsia"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（一）电子响应文件提交截止时间及磋商时间:2025年12</w:t>
      </w:r>
      <w:r>
        <w:rPr>
          <w:rFonts w:hint="eastAsia" w:ascii="仿宋" w:hAnsi="仿宋" w:eastAsia="仿宋"/>
          <w:sz w:val="28"/>
          <w:szCs w:val="28"/>
        </w:rPr>
        <w:t xml:space="preserve">月19日14</w:t>
      </w:r>
      <w:r>
        <w:rPr>
          <w:rFonts w:ascii="仿宋" w:hAnsi="仿宋" w:eastAsia="仿宋"/>
          <w:sz w:val="28"/>
          <w:szCs w:val="28"/>
        </w:rPr>
        <w:t xml:space="preserve">:30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自本公告发布之日起3个工作日。</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名称:淮安市城市水利工程管理中心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地址:淮安市淮安区人民桥向南一公里处（里运河西堤）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 邹鑫  15298670202</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名称:淮安市政源工程咨询有限公司</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地址:淮安经济技术开发区珠海路39号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联系方式:钱刚堂  13357974810</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有关本次磋商活动的事项若存在变动或修改，敬请及时关注代理机构在“淮安市政府采购网”发布的更正公告。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宋体" w:hAnsi="宋体"/>
          <w:bCs/>
          <w:sz w:val="32"/>
        </w:rPr>
      </w:pPr>
      <w:r>
        <w:rPr>
          <w:rFonts w:hint="eastAsia" w:ascii="宋体" w:hAnsi="宋体"/>
          <w:bCs/>
          <w:sz w:val="32"/>
        </w:rPr>
      </w:r>
      <w:r/>
    </w:p>
    <w:p>
      <w:pPr>
        <w:spacing w:line="440" w:lineRule="exact"/>
        <w:rPr>
          <w:rFonts w:hint="eastAsia" w:ascii="宋体" w:hAnsi="宋体"/>
          <w:bCs/>
          <w:sz w:val="32"/>
          <w:szCs w:val="32"/>
        </w:rPr>
      </w:pPr>
      <w:r>
        <w:rPr>
          <w:rFonts w:hint="eastAsia" w:ascii="宋体" w:hAnsi="宋体"/>
          <w:bCs/>
          <w:sz w:val="32"/>
          <w:szCs w:val="32"/>
        </w:rPr>
        <w:t xml:space="preserve">               </w:t>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4.1供应商应自行承担所有与参加磋商有关的费用。不论磋商的结果如何，淮安市政源工程咨询有限公司（以下简称代理机构）在任何情况下均无义务和责任承担这些费用。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w:t>
      </w:r>
      <w:r>
        <w:rPr>
          <w:rFonts w:hint="eastAsia" w:ascii="仿宋" w:hAnsi="仿宋" w:eastAsia="仿宋"/>
          <w:sz w:val="28"/>
          <w:szCs w:val="28"/>
          <w:lang w:val="zh-CN"/>
        </w:rPr>
        <w:t xml:space="preserve">本项目代理服务费参照原计价格2002-1980号文标准计取，由成交单位在领取成交通知书时支付。</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（6）响应文件格式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7.磋商文件的澄清和修改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sz w:val="28"/>
          <w:szCs w:val="28"/>
        </w:rPr>
      </w:pPr>
      <w:r/>
      <w:bookmarkStart w:id="4" w:name="_Toc462564073"/>
      <w:r/>
      <w:bookmarkStart w:id="5" w:name="_Toc16938530"/>
      <w:r/>
      <w:bookmarkStart w:id="6" w:name="_Toc20823286"/>
      <w:r/>
      <w:bookmarkStart w:id="7" w:name="_Toc513029214"/>
      <w:r>
        <w:rPr>
          <w:rFonts w:hint="eastAsia" w:ascii="仿宋" w:hAnsi="仿宋" w:eastAsia="仿宋"/>
          <w:sz w:val="28"/>
          <w:szCs w:val="28"/>
        </w:rPr>
        <w:t xml:space="preserve">8．响应文件的语言及度量衡单位</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p>
    <w:p>
      <w:pPr>
        <w:spacing w:line="520" w:lineRule="exact"/>
        <w:rPr>
          <w:rFonts w:hint="eastAsia" w:ascii="仿宋" w:hAnsi="仿宋" w:eastAsia="仿宋"/>
          <w:sz w:val="28"/>
          <w:szCs w:val="28"/>
        </w:rPr>
      </w:pPr>
      <w:r/>
      <w:bookmarkStart w:id="8" w:name="_Toc462564074"/>
      <w:r/>
      <w:bookmarkStart w:id="9" w:name="_Toc16938531"/>
      <w:r/>
      <w:bookmarkStart w:id="10" w:name="_Toc513029215"/>
      <w:r/>
      <w:bookmarkStart w:id="11" w:name="_Toc20823287"/>
      <w:r>
        <w:rPr>
          <w:rFonts w:hint="eastAsia" w:ascii="仿宋" w:hAnsi="仿宋" w:eastAsia="仿宋"/>
          <w:sz w:val="28"/>
          <w:szCs w:val="28"/>
        </w:rPr>
        <w:t xml:space="preserve">9．响应文件构成</w:t>
      </w:r>
      <w:bookmarkEnd w:id="8"/>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sz w:val="28"/>
          <w:szCs w:val="28"/>
        </w:rPr>
      </w:pPr>
      <w:r/>
      <w:bookmarkStart w:id="12" w:name="_Toc513029219"/>
      <w:r/>
      <w:bookmarkStart w:id="13" w:name="_Toc49090509"/>
      <w:r/>
      <w:bookmarkStart w:id="14" w:name="_Toc14577357"/>
      <w:r/>
      <w:bookmarkStart w:id="15" w:name="_Toc14577354"/>
      <w:r/>
      <w:bookmarkStart w:id="16" w:name="_Toc513029216"/>
      <w:r/>
      <w:bookmarkStart w:id="17" w:name="_Toc49090507"/>
      <w:r/>
      <w:bookmarkStart w:id="18" w:name="_Toc49090508"/>
      <w:r/>
      <w:bookmarkStart w:id="19" w:name="_Toc14577355"/>
      <w:r>
        <w:rPr>
          <w:rFonts w:hint="eastAsia" w:ascii="仿宋" w:hAnsi="仿宋" w:eastAsia="仿宋"/>
          <w:sz w:val="28"/>
          <w:szCs w:val="28"/>
        </w:rPr>
        <w:t xml:space="preserve">10．证明磋商响应标的符合磋商文件规定的文件</w:t>
      </w:r>
      <w:bookmarkEnd w:id="12"/>
      <w:r/>
      <w:bookmarkEnd w:id="13"/>
      <w:r/>
      <w:bookmarkEnd w:id="14"/>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10.1供应商应按照磋商文件要求提交证明文件，证明其及磋商响应标的符合磋商文件规定。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bookmarkEnd w:id="18"/>
      <w:r/>
      <w:bookmarkEnd w:id="19"/>
      <w:r/>
      <w:r/>
    </w:p>
    <w:p>
      <w:pPr>
        <w:spacing w:line="520" w:lineRule="exact"/>
        <w:rPr>
          <w:rFonts w:hint="eastAsia"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sz w:val="28"/>
          <w:szCs w:val="28"/>
        </w:rPr>
      </w:pPr>
      <w:r/>
      <w:bookmarkStart w:id="20" w:name="_Hlt26670482"/>
      <w:r/>
      <w:bookmarkEnd w:id="20"/>
      <w:r/>
      <w:bookmarkStart w:id="21" w:name="_Hlt26954848"/>
      <w:r/>
      <w:bookmarkEnd w:id="21"/>
      <w:r/>
      <w:bookmarkStart w:id="22" w:name="_Hlt26954846"/>
      <w:r/>
      <w:bookmarkEnd w:id="22"/>
      <w:r/>
      <w:bookmarkStart w:id="23" w:name="_Hlt26670486"/>
      <w:r/>
      <w:bookmarkEnd w:id="23"/>
      <w:r/>
      <w:bookmarkStart w:id="24" w:name="_Hlt26954731"/>
      <w:r/>
      <w:bookmarkEnd w:id="24"/>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p>
    <w:p>
      <w:pPr>
        <w:spacing w:line="520" w:lineRule="exact"/>
        <w:rPr>
          <w:rFonts w:hint="eastAsia" w:ascii="仿宋" w:hAnsi="仿宋" w:eastAsia="仿宋"/>
          <w:sz w:val="28"/>
          <w:szCs w:val="28"/>
        </w:rPr>
      </w:pPr>
      <w:r/>
      <w:bookmarkStart w:id="25" w:name="_Toc49090510"/>
      <w:r/>
      <w:bookmarkStart w:id="26" w:name="_Toc14577359"/>
      <w:r>
        <w:rPr>
          <w:rFonts w:hint="eastAsia" w:ascii="仿宋" w:hAnsi="仿宋" w:eastAsia="仿宋"/>
          <w:sz w:val="28"/>
          <w:szCs w:val="28"/>
        </w:rPr>
        <w:t xml:space="preserve">14.磋商响应函</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bookmarkEnd w:id="25"/>
      <w:r/>
      <w:bookmarkEnd w:id="26"/>
      <w:r/>
      <w:r/>
    </w:p>
    <w:p>
      <w:pPr>
        <w:spacing w:line="520" w:lineRule="exact"/>
        <w:rPr>
          <w:rFonts w:hint="eastAsia" w:ascii="仿宋" w:hAnsi="仿宋" w:eastAsia="仿宋"/>
          <w:sz w:val="28"/>
          <w:szCs w:val="28"/>
        </w:rPr>
      </w:pPr>
      <w:r>
        <w:rPr>
          <w:rFonts w:hint="eastAsia" w:ascii="仿宋" w:hAnsi="仿宋" w:eastAsia="仿宋"/>
          <w:sz w:val="28"/>
          <w:szCs w:val="28"/>
        </w:rPr>
        <w:t xml:space="preserve">15.方案部分（如本项目涉及的话）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15.1本项目评标标准中的方案部分</w:t>
      </w:r>
      <w:r>
        <w:rPr>
          <w:rFonts w:hint="eastAsia" w:ascii="仿宋" w:hAnsi="仿宋" w:eastAsia="仿宋"/>
          <w:b/>
          <w:bCs/>
          <w:sz w:val="28"/>
          <w:szCs w:val="28"/>
          <w:u w:val="single"/>
        </w:rPr>
        <w:t xml:space="preserve">不采用</w:t>
      </w:r>
      <w:r>
        <w:rPr>
          <w:rFonts w:hint="eastAsia" w:ascii="仿宋" w:hAnsi="仿宋" w:eastAsia="仿宋"/>
          <w:sz w:val="28"/>
          <w:szCs w:val="28"/>
        </w:rPr>
        <w:t xml:space="preserve">暗标方式进行评审。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15.2编制要求：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15.3供应商需按15.2的要求编制方案，否则按未提供方案处理。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16.磋商有效期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16.1磋商有效期为从磋商之日起计算的九十天。磋商有效期比规定短的将被视为</w:t>
      </w:r>
      <w:r>
        <w:rPr>
          <w:rFonts w:hint="eastAsia" w:ascii="仿宋" w:hAnsi="仿宋" w:eastAsia="仿宋"/>
          <w:sz w:val="28"/>
          <w:szCs w:val="28"/>
          <w:lang w:val="zh-CN"/>
        </w:rPr>
        <w:t xml:space="preserve">非响应磋商而予以拒绝。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sz w:val="28"/>
          <w:szCs w:val="28"/>
        </w:rPr>
      </w:pPr>
      <w:r>
        <w:rPr>
          <w:rFonts w:hint="eastAsia" w:ascii="仿宋" w:hAnsi="仿宋" w:eastAsia="仿宋"/>
          <w:sz w:val="28"/>
          <w:szCs w:val="28"/>
        </w:rPr>
        <w:t xml:space="preserve">17.响应文件的签署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18.响应文件的上传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 </w:t>
      </w:r>
      <w:r/>
    </w:p>
    <w:p>
      <w:pPr>
        <w:spacing w:line="520" w:lineRule="exact"/>
        <w:rPr>
          <w:rFonts w:hint="eastAsia" w:ascii="仿宋" w:hAnsi="仿宋" w:eastAsia="仿宋"/>
          <w:sz w:val="28"/>
          <w:szCs w:val="28"/>
        </w:rPr>
      </w:pPr>
      <w:r>
        <w:rPr>
          <w:rFonts w:hint="eastAsia" w:ascii="仿宋" w:hAnsi="仿宋" w:eastAsia="仿宋"/>
          <w:sz w:val="28"/>
          <w:szCs w:val="28"/>
        </w:rPr>
        <w:t xml:space="preserve">19.提交响应文件截止时间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20.响应文件被拒绝接收的情形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20.1在磋商文件规定的提交响应文件截止时间后上传的任何电子响应文件。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21.1.1供应商可在提交响应文件截止时间前，登录“苏采云”撤回电子响应文件。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21.1.2供应商在提交响应文件截止时间前撤回电子响应文件，且未重新上传的，则认为其不再参与本项目磋商活动。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21.2.1供应商可在提交响应文件截止时间前，登录“苏采云”修改电子响应文件，电子响应文件以最终完成上传的为准。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21.2.2供应商不得在提交响应文件截止时间之后修改电子响应文件。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得在提交电子响应文件截止时间起至磋商有效期满前撤回、修改电子响应文件。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hint="eastAsia" w:ascii="仿宋" w:hAnsi="仿宋" w:eastAsia="仿宋"/>
          <w:sz w:val="28"/>
          <w:szCs w:val="28"/>
        </w:rPr>
      </w:pPr>
      <w:r/>
      <w:bookmarkStart w:id="27" w:name="_Toc20823302"/>
      <w:r/>
      <w:bookmarkStart w:id="28" w:name="_Toc513029230"/>
      <w:r/>
      <w:bookmarkStart w:id="29" w:name="_Toc16938546"/>
      <w:r>
        <w:rPr>
          <w:rFonts w:hint="eastAsia" w:ascii="仿宋" w:hAnsi="仿宋" w:eastAsia="仿宋"/>
          <w:sz w:val="28"/>
          <w:szCs w:val="28"/>
        </w:rPr>
        <w:t xml:space="preserve">2</w:t>
      </w:r>
      <w:bookmarkEnd w:id="27"/>
      <w:r/>
      <w:bookmarkEnd w:id="28"/>
      <w:r/>
      <w:bookmarkEnd w:id="29"/>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23.1代理机构将组织磋商小组对响应文件进行评审。磋商小组由采购人代表和有关技术、经济等方面的专家组成，且人员构成符合政府采购有关规定。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24.3在项目评审期间，代理机构将设专门人员与供应商联系。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代理机构和磋商小组不向未成交的供应商解释未成交原因，也不公布评审过程中的相关细节。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30" w:name="_Toc513029232"/>
      <w:r/>
      <w:bookmarkStart w:id="31" w:name="_Toc16938548"/>
      <w:r/>
      <w:bookmarkStart w:id="32" w:name="_Toc20823304"/>
      <w:r>
        <w:rPr>
          <w:rFonts w:hint="eastAsia" w:ascii="仿宋" w:hAnsi="仿宋" w:eastAsia="仿宋"/>
          <w:sz w:val="28"/>
          <w:szCs w:val="28"/>
        </w:rPr>
        <w:t xml:space="preserve">25.评审过程中的澄清</w:t>
      </w:r>
      <w:bookmarkEnd w:id="30"/>
      <w:r/>
      <w:bookmarkEnd w:id="31"/>
      <w:r/>
      <w:bookmarkEnd w:id="32"/>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接到磋商小组澄清、说明和更正要求的供应商如未按规定作出澄清、说明和更正，其风险由供应商自行承担。</w:t>
      </w:r>
      <w:r/>
    </w:p>
    <w:p>
      <w:pPr>
        <w:spacing w:line="520" w:lineRule="exact"/>
        <w:rPr>
          <w:rFonts w:hint="eastAsia" w:ascii="仿宋" w:hAnsi="仿宋" w:eastAsia="仿宋"/>
          <w:sz w:val="28"/>
          <w:szCs w:val="28"/>
        </w:rPr>
      </w:pPr>
      <w:r/>
      <w:bookmarkStart w:id="33" w:name="_Toc513029233"/>
      <w:r/>
      <w:bookmarkStart w:id="34" w:name="_Toc16938549"/>
      <w:r/>
      <w:bookmarkStart w:id="35" w:name="_Toc20823305"/>
      <w:r>
        <w:rPr>
          <w:rFonts w:hint="eastAsia" w:ascii="仿宋" w:hAnsi="仿宋" w:eastAsia="仿宋"/>
          <w:sz w:val="28"/>
          <w:szCs w:val="28"/>
        </w:rPr>
        <w:t xml:space="preserve">26.对响应文件的审</w:t>
      </w:r>
      <w:bookmarkEnd w:id="33"/>
      <w:r/>
      <w:bookmarkEnd w:id="34"/>
      <w:r/>
      <w:bookmarkEnd w:id="35"/>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26.3.7不符合磋商文件中规定的实质性要求和条件的（实质性要求和条件是指本磋商文件中用带星号（“★”）的商务和技术要求）。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26.3.9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26.3.10响应文件未按照磋商文件要求加盖CA电子公章的。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26.3.11其他法律、法规及本磋商文件规定的属无效响应的情形。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p>
    <w:p>
      <w:pPr>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磋商小组发现磋商文件存在歧义、重大缺陷导致评审工作无法进行，或者磋商文件内容存在违反国家有关规定的，评审工作停止，代理机构修改磋商文件后重新组织采购活动。</w:t>
      </w:r>
      <w:r/>
    </w:p>
    <w:p>
      <w:pPr>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30.2代理机构将在淮安市政府采购网发布成交结果公告。</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30.3成交候选人在合同签订前，如经查实从参加该成交项目之日起计算所参加的政府采购活动前三年内，在经营活动中有行贿犯罪记录的，代理机构将报告主管部门取消其成交候选人资格。</w:t>
      </w:r>
      <w:r/>
    </w:p>
    <w:p>
      <w:pPr>
        <w:spacing w:line="520" w:lineRule="exact"/>
        <w:rPr>
          <w:rFonts w:hint="eastAsia" w:ascii="仿宋" w:hAnsi="仿宋" w:eastAsia="仿宋"/>
          <w:sz w:val="28"/>
        </w:rPr>
      </w:pPr>
      <w:r>
        <w:rPr>
          <w:rFonts w:hint="eastAsia" w:ascii="仿宋" w:hAnsi="仿宋" w:eastAsia="仿宋"/>
          <w:sz w:val="28"/>
        </w:rPr>
        <w:t xml:space="preserve">31.成交通知书</w:t>
      </w:r>
      <w:r/>
    </w:p>
    <w:p>
      <w:pPr>
        <w:ind w:firstLine="560"/>
        <w:spacing w:line="520" w:lineRule="exact"/>
        <w:rPr>
          <w:rFonts w:hint="eastAsia" w:ascii="仿宋" w:hAnsi="仿宋" w:eastAsia="仿宋"/>
          <w:sz w:val="28"/>
        </w:rPr>
      </w:pPr>
      <w:r>
        <w:rPr>
          <w:rFonts w:hint="eastAsia" w:ascii="仿宋" w:hAnsi="仿宋" w:eastAsia="仿宋"/>
          <w:sz w:val="28"/>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rPr>
      </w:pPr>
      <w:r>
        <w:rPr>
          <w:rFonts w:hint="eastAsia" w:ascii="仿宋" w:hAnsi="仿宋" w:eastAsia="仿宋"/>
          <w:sz w:val="28"/>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32.签订合同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32.2成交供应商自成交通知书发出之日起三十日内无正当理由不与采购人签订合同的，将按规定进行处理。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33.货物和服务的减少</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pStyle w:val="919"/>
        <w:spacing w:line="520" w:lineRule="exact"/>
        <w:rPr>
          <w:rFonts w:hint="eastAsia" w:ascii="仿宋" w:hAnsi="仿宋" w:eastAsia="仿宋"/>
          <w:b/>
          <w:bCs/>
          <w:sz w:val="28"/>
          <w:szCs w:val="28"/>
        </w:rPr>
      </w:pPr>
      <w:r>
        <w:rPr>
          <w:rFonts w:hint="eastAsia" w:ascii="仿宋" w:hAnsi="仿宋" w:eastAsia="仿宋"/>
          <w:b/>
          <w:bCs/>
          <w:sz w:val="28"/>
          <w:szCs w:val="28"/>
        </w:rPr>
        <w:t xml:space="preserve">34.履约保证金</w:t>
      </w:r>
      <w:r/>
    </w:p>
    <w:p>
      <w:pPr>
        <w:ind w:firstLine="560"/>
        <w:spacing w:line="520" w:lineRule="exact"/>
        <w:rPr>
          <w:rFonts w:hint="eastAsia" w:ascii="仿宋" w:hAnsi="仿宋" w:eastAsia="仿宋"/>
          <w:sz w:val="28"/>
          <w:szCs w:val="28"/>
          <w:highlight w:val="red"/>
        </w:rPr>
      </w:pPr>
      <w:r>
        <w:rPr>
          <w:rFonts w:hint="eastAsia" w:ascii="仿宋" w:hAnsi="仿宋" w:eastAsia="仿宋"/>
          <w:sz w:val="28"/>
          <w:szCs w:val="28"/>
        </w:rPr>
        <w:t xml:space="preserve">本项目不收取履约保证金</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35.2上述应知其权益受到损害之日是指: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35.5质疑函应当包括以下主要内容，附上相关证明材料。否则，代理机构不予受理。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35.7对于内容、格式符合规定的质疑函，采购人将在七个工作日内以电子文件的形式作出答复，但质疑答复的内容不涉及商业秘密。如果质疑供应商还需要纸质形式回复函的，需主动与代理机构联系索取，或者在质疑函中明确提出该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代理机构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36.政策功能落实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37. 节能、环保政策（本项目不涉及）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38．政府绿色采购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929"/>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929"/>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rPr>
      </w:pPr>
      <w:r>
        <w:rPr>
          <w:rFonts w:hint="eastAsia" w:ascii="仿宋" w:hAnsi="仿宋" w:eastAsia="仿宋"/>
          <w:sz w:val="28"/>
          <w:szCs w:val="28"/>
        </w:rPr>
        <w:t xml:space="preserve">39. 履约资金扶持政策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1、价格:35分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采用低价优先法计算，满足磋商文件要求且最后报价最低为磋商基准价，其价格分为满分。其他供应商的价格分按照下列公式计算（小数点保留两位）: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磋商报价得分＝（磋商基准价/最后磋商报价）×</w:t>
      </w:r>
      <w:r>
        <w:rPr>
          <w:rFonts w:hint="eastAsia" w:ascii="仿宋" w:hAnsi="仿宋" w:eastAsia="仿宋"/>
          <w:color w:val="auto"/>
          <w:sz w:val="28"/>
          <w:szCs w:val="28"/>
          <w:highlight w:val="none"/>
        </w:rPr>
        <w:t xml:space="preserve">35</w:t>
      </w:r>
      <w:r>
        <w:rPr>
          <w:rFonts w:ascii="仿宋" w:hAnsi="仿宋" w:eastAsia="仿宋"/>
          <w:color w:val="auto"/>
          <w:sz w:val="28"/>
          <w:szCs w:val="28"/>
          <w:highlight w:val="none"/>
        </w:rPr>
        <w:t xml:space="preserve">分</w:t>
      </w:r>
      <w:r/>
    </w:p>
    <w:p>
      <w:pPr>
        <w:ind w:firstLine="560"/>
        <w:spacing w:line="52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2、方案部分：</w:t>
      </w:r>
      <w:r>
        <w:rPr>
          <w:rFonts w:hint="eastAsia" w:ascii="仿宋" w:hAnsi="仿宋" w:eastAsia="仿宋"/>
          <w:b/>
          <w:bCs/>
          <w:color w:val="auto"/>
          <w:sz w:val="28"/>
          <w:szCs w:val="28"/>
          <w:highlight w:val="none"/>
        </w:rPr>
        <w:t xml:space="preserve">45</w:t>
      </w:r>
      <w:r>
        <w:rPr>
          <w:rFonts w:ascii="仿宋" w:hAnsi="仿宋" w:eastAsia="仿宋"/>
          <w:b/>
          <w:bCs/>
          <w:color w:val="auto"/>
          <w:sz w:val="28"/>
          <w:szCs w:val="28"/>
          <w:highlight w:val="none"/>
        </w:rPr>
        <w:t xml:space="preserve">分</w:t>
      </w:r>
      <w:r/>
    </w:p>
    <w:p>
      <w:pPr>
        <w:ind w:firstLine="560"/>
        <w:spacing w:line="520" w:lineRule="exact"/>
        <w:rPr>
          <w:rFonts w:hint="eastAsia" w:ascii="仿宋" w:hAnsi="仿宋" w:eastAsia="仿宋"/>
          <w:sz w:val="28"/>
          <w:szCs w:val="28"/>
          <w:lang w:val="zh-CN"/>
        </w:rPr>
      </w:pPr>
      <w:r>
        <w:rPr>
          <w:rFonts w:ascii="仿宋" w:hAnsi="仿宋" w:eastAsia="仿宋"/>
          <w:sz w:val="28"/>
          <w:szCs w:val="28"/>
        </w:rPr>
        <w:t xml:space="preserve">供应商参加磋商时按照下列要求提供方案，磋商小组根据供应商提供的方案进行评分，未提供方案或经三分之二评委认定方案存在重大偏差的，该分项不得分。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）管理实施方案（10分）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主要包含工作管理制度和工作标准、服务措施、应急预案完善。</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方案设计完整、合理可行，表述准确清晰的得10 分；方案设计较完整、较合理可行，表述较准确清晰的得6分</w:t>
      </w:r>
      <w:r>
        <w:rPr>
          <w:rFonts w:hint="eastAsia" w:ascii="仿宋" w:hAnsi="仿宋" w:eastAsia="仿宋"/>
          <w:sz w:val="28"/>
          <w:szCs w:val="28"/>
        </w:rPr>
        <w:t xml:space="preserve">；</w:t>
      </w:r>
      <w:r>
        <w:rPr>
          <w:rFonts w:hint="eastAsia" w:ascii="仿宋" w:hAnsi="仿宋" w:eastAsia="仿宋"/>
          <w:sz w:val="28"/>
          <w:szCs w:val="28"/>
          <w:lang w:val="zh-TW"/>
        </w:rPr>
        <w:t xml:space="preserve">方案片面，有执行有效性一般，内容不详细，得</w:t>
      </w:r>
      <w:r>
        <w:rPr>
          <w:rFonts w:hint="eastAsia" w:ascii="仿宋" w:hAnsi="仿宋" w:eastAsia="仿宋"/>
          <w:sz w:val="28"/>
          <w:szCs w:val="28"/>
        </w:rPr>
        <w:t xml:space="preserve">4</w:t>
      </w:r>
      <w:r>
        <w:rPr>
          <w:rFonts w:hint="eastAsia" w:ascii="仿宋" w:hAnsi="仿宋" w:eastAsia="仿宋"/>
          <w:sz w:val="28"/>
          <w:szCs w:val="28"/>
          <w:lang w:val="zh-TW"/>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）日常巡视方案（10分）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含经常检查、安全检查、隐患排查、机组运行、开机期间巡检方案。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方案设计完整、合理可行，表述准确清晰的得10分；方案设计较完整、较合理可行，表述较准确清晰的得6分</w:t>
      </w:r>
      <w:r>
        <w:rPr>
          <w:rFonts w:hint="eastAsia" w:ascii="仿宋" w:hAnsi="仿宋" w:eastAsia="仿宋"/>
          <w:sz w:val="28"/>
          <w:szCs w:val="28"/>
        </w:rPr>
        <w:t xml:space="preserve">；</w:t>
      </w:r>
      <w:r>
        <w:rPr>
          <w:rFonts w:hint="eastAsia" w:ascii="仿宋" w:hAnsi="仿宋" w:eastAsia="仿宋"/>
          <w:sz w:val="28"/>
          <w:szCs w:val="28"/>
          <w:lang w:val="zh-TW"/>
        </w:rPr>
        <w:t xml:space="preserve">方案片面，有执行有效性一般，内容不详细，得</w:t>
      </w:r>
      <w:r>
        <w:rPr>
          <w:rFonts w:hint="eastAsia" w:ascii="仿宋" w:hAnsi="仿宋" w:eastAsia="仿宋"/>
          <w:sz w:val="28"/>
          <w:szCs w:val="28"/>
        </w:rPr>
        <w:t xml:space="preserve">4</w:t>
      </w:r>
      <w:r>
        <w:rPr>
          <w:rFonts w:hint="eastAsia" w:ascii="仿宋" w:hAnsi="仿宋" w:eastAsia="仿宋"/>
          <w:sz w:val="28"/>
          <w:szCs w:val="28"/>
          <w:lang w:val="zh-TW"/>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）人员保障措施，能够提供应急人员调配方案（</w:t>
      </w:r>
      <w:r>
        <w:rPr>
          <w:rFonts w:hint="eastAsia" w:ascii="仿宋" w:hAnsi="仿宋" w:eastAsia="仿宋"/>
          <w:sz w:val="28"/>
          <w:szCs w:val="28"/>
        </w:rPr>
        <w:t xml:space="preserve">6</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方案设计完整、合理可行的得</w:t>
      </w:r>
      <w:r>
        <w:rPr>
          <w:rFonts w:hint="eastAsia" w:ascii="仿宋" w:hAnsi="仿宋" w:eastAsia="仿宋"/>
          <w:sz w:val="28"/>
          <w:szCs w:val="28"/>
        </w:rPr>
        <w:t xml:space="preserve">6</w:t>
      </w:r>
      <w:r>
        <w:rPr>
          <w:rFonts w:ascii="仿宋" w:hAnsi="仿宋" w:eastAsia="仿宋"/>
          <w:sz w:val="28"/>
          <w:szCs w:val="28"/>
        </w:rPr>
        <w:t xml:space="preserve">分；方案设计较完整、较合理可行的得</w:t>
      </w:r>
      <w:r>
        <w:rPr>
          <w:rFonts w:hint="eastAsia" w:ascii="仿宋" w:hAnsi="仿宋" w:eastAsia="仿宋"/>
          <w:sz w:val="28"/>
          <w:szCs w:val="28"/>
        </w:rPr>
        <w:t xml:space="preserve">4</w:t>
      </w:r>
      <w:r>
        <w:rPr>
          <w:rFonts w:ascii="仿宋" w:hAnsi="仿宋" w:eastAsia="仿宋"/>
          <w:sz w:val="28"/>
          <w:szCs w:val="28"/>
        </w:rPr>
        <w:t xml:space="preserve">分</w:t>
      </w:r>
      <w:r>
        <w:rPr>
          <w:rFonts w:hint="eastAsia" w:ascii="仿宋" w:hAnsi="仿宋" w:eastAsia="仿宋"/>
          <w:sz w:val="28"/>
          <w:szCs w:val="28"/>
        </w:rPr>
        <w:t xml:space="preserve">；</w:t>
      </w:r>
      <w:r>
        <w:rPr>
          <w:rFonts w:hint="eastAsia" w:ascii="仿宋" w:hAnsi="仿宋" w:eastAsia="仿宋"/>
          <w:sz w:val="28"/>
          <w:szCs w:val="28"/>
          <w:lang w:val="zh-TW"/>
        </w:rPr>
        <w:t xml:space="preserve">方案片面，有执行有效性一般，内容不详细，得</w:t>
      </w:r>
      <w:r>
        <w:rPr>
          <w:rFonts w:hint="eastAsia" w:ascii="仿宋" w:hAnsi="仿宋" w:eastAsia="仿宋"/>
          <w:sz w:val="28"/>
          <w:szCs w:val="28"/>
        </w:rPr>
        <w:t xml:space="preserve">2</w:t>
      </w:r>
      <w:r>
        <w:rPr>
          <w:rFonts w:hint="eastAsia" w:ascii="仿宋" w:hAnsi="仿宋" w:eastAsia="仿宋"/>
          <w:sz w:val="28"/>
          <w:szCs w:val="28"/>
          <w:lang w:val="zh-TW"/>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）工程日常维修检查及故障处置（</w:t>
      </w:r>
      <w:r>
        <w:rPr>
          <w:rFonts w:hint="eastAsia" w:ascii="仿宋" w:hAnsi="仿宋" w:eastAsia="仿宋"/>
          <w:sz w:val="28"/>
          <w:szCs w:val="28"/>
        </w:rPr>
        <w:t xml:space="preserve">6</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方案设计完整、合理可行，表述准确清晰的得</w:t>
      </w:r>
      <w:r>
        <w:rPr>
          <w:rFonts w:hint="eastAsia" w:ascii="仿宋" w:hAnsi="仿宋" w:eastAsia="仿宋"/>
          <w:sz w:val="28"/>
          <w:szCs w:val="28"/>
        </w:rPr>
        <w:t xml:space="preserve">6</w:t>
      </w:r>
      <w:r>
        <w:rPr>
          <w:rFonts w:ascii="仿宋" w:hAnsi="仿宋" w:eastAsia="仿宋"/>
          <w:sz w:val="28"/>
          <w:szCs w:val="28"/>
        </w:rPr>
        <w:t xml:space="preserve">分；方案设计较完整、较合理可行，表述较准确清晰的得4分</w:t>
      </w:r>
      <w:r>
        <w:rPr>
          <w:rFonts w:hint="eastAsia" w:ascii="仿宋" w:hAnsi="仿宋" w:eastAsia="仿宋"/>
          <w:sz w:val="28"/>
          <w:szCs w:val="28"/>
        </w:rPr>
        <w:t xml:space="preserve">；</w:t>
      </w:r>
      <w:r>
        <w:rPr>
          <w:rFonts w:hint="eastAsia" w:ascii="仿宋" w:hAnsi="仿宋" w:eastAsia="仿宋"/>
          <w:sz w:val="28"/>
          <w:szCs w:val="28"/>
          <w:lang w:val="zh-TW"/>
        </w:rPr>
        <w:t xml:space="preserve">方案片面，有执行有效性一般，内容不详细，得</w:t>
      </w:r>
      <w:r>
        <w:rPr>
          <w:rFonts w:hint="eastAsia" w:ascii="仿宋" w:hAnsi="仿宋" w:eastAsia="仿宋"/>
          <w:sz w:val="28"/>
          <w:szCs w:val="28"/>
        </w:rPr>
        <w:t xml:space="preserve">2</w:t>
      </w:r>
      <w:r>
        <w:rPr>
          <w:rFonts w:hint="eastAsia" w:ascii="仿宋" w:hAnsi="仿宋" w:eastAsia="仿宋"/>
          <w:sz w:val="28"/>
          <w:szCs w:val="28"/>
          <w:lang w:val="zh-TW"/>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（5）建、构筑物日常维护方案（</w:t>
      </w:r>
      <w:r>
        <w:rPr>
          <w:rFonts w:hint="eastAsia" w:ascii="仿宋" w:hAnsi="仿宋" w:eastAsia="仿宋"/>
          <w:sz w:val="28"/>
          <w:szCs w:val="28"/>
        </w:rPr>
        <w:t xml:space="preserve">2</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方案完整、合理可行的得</w:t>
      </w:r>
      <w:r>
        <w:rPr>
          <w:rFonts w:hint="eastAsia" w:ascii="仿宋" w:hAnsi="仿宋" w:eastAsia="仿宋"/>
          <w:sz w:val="28"/>
          <w:szCs w:val="28"/>
        </w:rPr>
        <w:t xml:space="preserve">2</w:t>
      </w:r>
      <w:r>
        <w:rPr>
          <w:rFonts w:ascii="仿宋" w:hAnsi="仿宋" w:eastAsia="仿宋"/>
          <w:sz w:val="28"/>
          <w:szCs w:val="28"/>
        </w:rPr>
        <w:t xml:space="preserve">分；方案较完整、较合理可行的得</w:t>
      </w:r>
      <w:r>
        <w:rPr>
          <w:rFonts w:hint="eastAsia" w:ascii="仿宋" w:hAnsi="仿宋" w:eastAsia="仿宋"/>
          <w:sz w:val="28"/>
          <w:szCs w:val="28"/>
        </w:rPr>
        <w:t xml:space="preserve">1</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（6）水工建筑物工程维护观测方案（</w:t>
      </w:r>
      <w:r>
        <w:rPr>
          <w:rFonts w:hint="eastAsia" w:ascii="仿宋" w:hAnsi="仿宋" w:eastAsia="仿宋"/>
          <w:sz w:val="28"/>
          <w:szCs w:val="28"/>
        </w:rPr>
        <w:t xml:space="preserve">2</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方案完整、合理可行的得</w:t>
      </w:r>
      <w:r>
        <w:rPr>
          <w:rFonts w:hint="eastAsia" w:ascii="仿宋" w:hAnsi="仿宋" w:eastAsia="仿宋"/>
          <w:sz w:val="28"/>
          <w:szCs w:val="28"/>
        </w:rPr>
        <w:t xml:space="preserve">2</w:t>
      </w:r>
      <w:r>
        <w:rPr>
          <w:rFonts w:ascii="仿宋" w:hAnsi="仿宋" w:eastAsia="仿宋"/>
          <w:sz w:val="28"/>
          <w:szCs w:val="28"/>
        </w:rPr>
        <w:t xml:space="preserve"> 分；方案较完整、较合理可行的得</w:t>
      </w:r>
      <w:r>
        <w:rPr>
          <w:rFonts w:hint="eastAsia" w:ascii="仿宋" w:hAnsi="仿宋" w:eastAsia="仿宋"/>
          <w:sz w:val="28"/>
          <w:szCs w:val="28"/>
        </w:rPr>
        <w:t xml:space="preserve">1</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（7）水下检查实施方案（</w:t>
      </w:r>
      <w:r>
        <w:rPr>
          <w:rFonts w:hint="eastAsia" w:ascii="仿宋" w:hAnsi="仿宋" w:eastAsia="仿宋"/>
          <w:sz w:val="28"/>
          <w:szCs w:val="28"/>
        </w:rPr>
        <w:t xml:space="preserve">2</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方案完整、合理可行的得</w:t>
      </w:r>
      <w:r>
        <w:rPr>
          <w:rFonts w:hint="eastAsia" w:ascii="仿宋" w:hAnsi="仿宋" w:eastAsia="仿宋"/>
          <w:sz w:val="28"/>
          <w:szCs w:val="28"/>
        </w:rPr>
        <w:t xml:space="preserve">2</w:t>
      </w:r>
      <w:r>
        <w:rPr>
          <w:rFonts w:ascii="仿宋" w:hAnsi="仿宋" w:eastAsia="仿宋"/>
          <w:sz w:val="28"/>
          <w:szCs w:val="28"/>
        </w:rPr>
        <w:t xml:space="preserve"> 分；方案较完整、较合理可行的得</w:t>
      </w:r>
      <w:r>
        <w:rPr>
          <w:rFonts w:hint="eastAsia" w:ascii="仿宋" w:hAnsi="仿宋" w:eastAsia="仿宋"/>
          <w:sz w:val="28"/>
          <w:szCs w:val="28"/>
        </w:rPr>
        <w:t xml:space="preserve">1</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（8）后勤保障服务方案（</w:t>
      </w:r>
      <w:r>
        <w:rPr>
          <w:rFonts w:hint="eastAsia" w:ascii="仿宋" w:hAnsi="仿宋" w:eastAsia="仿宋"/>
          <w:sz w:val="28"/>
          <w:szCs w:val="28"/>
        </w:rPr>
        <w:t xml:space="preserve">7</w:t>
      </w:r>
      <w:r>
        <w:rPr>
          <w:rFonts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后勤保障含绿化保洁服务、食堂管理服务、安全保卫服务</w:t>
      </w:r>
      <w:r>
        <w:rPr>
          <w:rFonts w:hint="eastAsia" w:eastAsia="仿宋_GB2312"/>
          <w:sz w:val="28"/>
          <w:szCs w:val="28"/>
        </w:rPr>
        <w:t xml:space="preserve">、零星维修</w:t>
      </w:r>
      <w:r>
        <w:rPr>
          <w:rFonts w:eastAsia="仿宋_GB2312"/>
          <w:sz w:val="28"/>
          <w:szCs w:val="28"/>
        </w:rPr>
        <w:t xml:space="preserve">等</w:t>
      </w:r>
      <w:r>
        <w:rPr>
          <w:rFonts w:ascii="仿宋" w:hAnsi="仿宋" w:eastAsia="仿宋"/>
          <w:sz w:val="28"/>
          <w:szCs w:val="28"/>
        </w:rPr>
        <w:t xml:space="preserve">，方案完整、合理可行的得</w:t>
      </w:r>
      <w:r>
        <w:rPr>
          <w:rFonts w:hint="eastAsia" w:ascii="仿宋" w:hAnsi="仿宋" w:eastAsia="仿宋"/>
          <w:sz w:val="28"/>
          <w:szCs w:val="28"/>
        </w:rPr>
        <w:t xml:space="preserve">7</w:t>
      </w:r>
      <w:r>
        <w:rPr>
          <w:rFonts w:ascii="仿宋" w:hAnsi="仿宋" w:eastAsia="仿宋"/>
          <w:sz w:val="28"/>
          <w:szCs w:val="28"/>
        </w:rPr>
        <w:t xml:space="preserve">分；方案较完整、较合理可行的得</w:t>
      </w:r>
      <w:r>
        <w:rPr>
          <w:rFonts w:hint="eastAsia" w:ascii="仿宋" w:hAnsi="仿宋" w:eastAsia="仿宋"/>
          <w:sz w:val="28"/>
          <w:szCs w:val="28"/>
        </w:rPr>
        <w:t xml:space="preserve">5</w:t>
      </w:r>
      <w:r>
        <w:rPr>
          <w:rFonts w:ascii="仿宋" w:hAnsi="仿宋" w:eastAsia="仿宋"/>
          <w:sz w:val="28"/>
          <w:szCs w:val="28"/>
        </w:rPr>
        <w:t xml:space="preserve">分</w:t>
      </w:r>
      <w:r>
        <w:rPr>
          <w:rFonts w:hint="eastAsia" w:ascii="仿宋" w:hAnsi="仿宋" w:eastAsia="仿宋"/>
          <w:sz w:val="28"/>
          <w:szCs w:val="28"/>
        </w:rPr>
        <w:t xml:space="preserve">；</w:t>
      </w:r>
      <w:r>
        <w:rPr>
          <w:rFonts w:hint="eastAsia" w:ascii="仿宋" w:hAnsi="仿宋" w:eastAsia="仿宋"/>
          <w:sz w:val="28"/>
          <w:szCs w:val="28"/>
          <w:lang w:val="zh-TW"/>
        </w:rPr>
        <w:t xml:space="preserve">方案片面，有执行有效性一般，内容不详细，得</w:t>
      </w:r>
      <w:r>
        <w:rPr>
          <w:rFonts w:hint="eastAsia" w:ascii="仿宋" w:hAnsi="仿宋" w:eastAsia="仿宋"/>
          <w:sz w:val="28"/>
          <w:szCs w:val="28"/>
        </w:rPr>
        <w:t xml:space="preserve">3</w:t>
      </w:r>
      <w:r>
        <w:rPr>
          <w:rFonts w:hint="eastAsia" w:ascii="仿宋" w:hAnsi="仿宋" w:eastAsia="仿宋"/>
          <w:sz w:val="28"/>
          <w:szCs w:val="28"/>
          <w:lang w:val="zh-TW"/>
        </w:rPr>
        <w:t xml:space="preserve">分。</w:t>
      </w:r>
      <w:r/>
    </w:p>
    <w:p>
      <w:pPr>
        <w:ind w:firstLine="560"/>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3</w:t>
      </w:r>
      <w:r>
        <w:rPr>
          <w:rFonts w:ascii="仿宋" w:hAnsi="仿宋" w:eastAsia="仿宋"/>
          <w:b/>
          <w:bCs/>
          <w:sz w:val="28"/>
          <w:szCs w:val="28"/>
          <w:highlight w:val="none"/>
        </w:rPr>
        <w:t xml:space="preserve">、商务部分:</w:t>
      </w:r>
      <w:r>
        <w:rPr>
          <w:rFonts w:hint="eastAsia" w:ascii="仿宋" w:hAnsi="仿宋" w:eastAsia="仿宋"/>
          <w:b/>
          <w:bCs/>
          <w:sz w:val="28"/>
          <w:szCs w:val="28"/>
          <w:highlight w:val="none"/>
        </w:rPr>
        <w:t xml:space="preserve">20</w:t>
      </w:r>
      <w:r>
        <w:rPr>
          <w:rFonts w:ascii="仿宋" w:hAnsi="仿宋" w:eastAsia="仿宋"/>
          <w:b/>
          <w:bCs/>
          <w:sz w:val="28"/>
          <w:szCs w:val="28"/>
          <w:highlight w:val="none"/>
        </w:rPr>
        <w:t xml:space="preserve">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（1）供应商针对本项目拟派的项目负责人具有水利专业工程师职称的得3分、具有水利专业高级工程师职称的得4分，本项最高得4分，没有不得分。 （提供人员证书及供应商为其缴纳的自202</w:t>
      </w:r>
      <w:r>
        <w:rPr>
          <w:rFonts w:hint="eastAsia" w:ascii="仿宋" w:hAnsi="仿宋" w:eastAsia="仿宋"/>
          <w:sz w:val="28"/>
          <w:szCs w:val="28"/>
        </w:rPr>
        <w:t xml:space="preserve">5</w:t>
      </w:r>
      <w:r>
        <w:rPr>
          <w:rFonts w:hint="eastAsia" w:ascii="仿宋" w:hAnsi="仿宋" w:eastAsia="仿宋"/>
          <w:sz w:val="28"/>
          <w:szCs w:val="28"/>
          <w:lang w:val="zh-CN"/>
        </w:rPr>
        <w:t xml:space="preserve">年1月以来任意一个月社保证明材料扫描件加盖供应商电子签章，未提供或提供不全的本项不得分） </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（2）供应商针对本项目拟派的技术负责人中具有泵站（闸门）技师职称的得3分，具有泵站（闸门）高级技师的得4分，本项最高得4分，没有不得分。（提供人员证书及供应商为其缴纳的自202</w:t>
      </w:r>
      <w:r>
        <w:rPr>
          <w:rFonts w:hint="eastAsia" w:ascii="仿宋" w:hAnsi="仿宋" w:eastAsia="仿宋"/>
          <w:sz w:val="28"/>
          <w:szCs w:val="28"/>
        </w:rPr>
        <w:t xml:space="preserve">5</w:t>
      </w:r>
      <w:r>
        <w:rPr>
          <w:rFonts w:hint="eastAsia" w:ascii="仿宋" w:hAnsi="仿宋" w:eastAsia="仿宋"/>
          <w:sz w:val="28"/>
          <w:szCs w:val="28"/>
          <w:lang w:val="zh-CN"/>
        </w:rPr>
        <w:t xml:space="preserve">年1月以来任意一个月社保证明材料扫描件加盖供应商电子签章，未提供或提供不全的本项不得分）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（3）供应商针对本项目拟派的团队人员（不含项目负责人和技术负责人）具有水利专业中级及以上职称的，每有一人得2分，本项最多得8分，没有不得分。（提供人员证书及供应商为其缴纳的自202</w:t>
      </w:r>
      <w:r>
        <w:rPr>
          <w:rFonts w:hint="eastAsia" w:ascii="仿宋" w:hAnsi="仿宋" w:eastAsia="仿宋"/>
          <w:sz w:val="28"/>
          <w:szCs w:val="28"/>
        </w:rPr>
        <w:t xml:space="preserve">5</w:t>
      </w:r>
      <w:r>
        <w:rPr>
          <w:rFonts w:hint="eastAsia" w:ascii="仿宋" w:hAnsi="仿宋" w:eastAsia="仿宋"/>
          <w:sz w:val="28"/>
          <w:szCs w:val="28"/>
          <w:lang w:val="zh-CN"/>
        </w:rPr>
        <w:t xml:space="preserve">年1月以来任意一个月社保证明材料扫描件加盖供应商电子签章，未提供或提供不全的本项不得分）</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（4）供应商自2</w:t>
      </w:r>
      <w:r>
        <w:rPr>
          <w:rFonts w:hint="eastAsia" w:ascii="仿宋" w:hAnsi="仿宋" w:eastAsia="仿宋"/>
          <w:sz w:val="28"/>
          <w:szCs w:val="28"/>
          <w:highlight w:val="none"/>
        </w:rPr>
        <w:t xml:space="preserve">022</w:t>
      </w:r>
      <w:r>
        <w:rPr>
          <w:rFonts w:hint="eastAsia" w:ascii="仿宋" w:hAnsi="仿宋" w:eastAsia="仿宋"/>
          <w:sz w:val="28"/>
          <w:szCs w:val="28"/>
          <w:highlight w:val="none"/>
          <w:lang w:val="zh-CN"/>
        </w:rPr>
        <w:t xml:space="preserve">年以来自行管理或承担委托管理过大型泵站的，每有1座，得2分，最高得</w:t>
      </w:r>
      <w:r>
        <w:rPr>
          <w:rFonts w:hint="eastAsia" w:ascii="仿宋" w:hAnsi="仿宋" w:eastAsia="仿宋"/>
          <w:sz w:val="28"/>
          <w:szCs w:val="28"/>
          <w:highlight w:val="none"/>
        </w:rPr>
        <w:t xml:space="preserve">4</w:t>
      </w:r>
      <w:r>
        <w:rPr>
          <w:rFonts w:hint="eastAsia" w:ascii="仿宋" w:hAnsi="仿宋" w:eastAsia="仿宋"/>
          <w:sz w:val="28"/>
          <w:szCs w:val="28"/>
          <w:highlight w:val="none"/>
          <w:lang w:val="zh-CN"/>
        </w:rPr>
        <w:t xml:space="preserve">分，没有不得分。</w:t>
      </w:r>
      <w:r>
        <w:rPr>
          <w:rFonts w:hint="eastAsia" w:ascii="仿宋" w:hAnsi="仿宋" w:eastAsia="仿宋"/>
          <w:sz w:val="28"/>
          <w:szCs w:val="28"/>
          <w:highlight w:val="none"/>
        </w:rPr>
        <w:t xml:space="preserve">（以合同签订时间为准，提供项目合同扫描件加盖供应商</w:t>
      </w:r>
      <w:r>
        <w:rPr>
          <w:rFonts w:hint="eastAsia" w:ascii="仿宋" w:hAnsi="仿宋" w:eastAsia="仿宋"/>
          <w:sz w:val="28"/>
          <w:szCs w:val="28"/>
          <w:highlight w:val="none"/>
          <w:lang w:val="zh-CN"/>
        </w:rPr>
        <w:t xml:space="preserve">电子签</w:t>
      </w:r>
      <w:r>
        <w:rPr>
          <w:rFonts w:hint="eastAsia" w:ascii="仿宋" w:hAnsi="仿宋" w:eastAsia="仿宋"/>
          <w:sz w:val="28"/>
          <w:szCs w:val="28"/>
          <w:highlight w:val="none"/>
        </w:rPr>
        <w:t xml:space="preserve">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br w:type="page" w:clear="all"/>
      </w:r>
      <w:r/>
    </w:p>
    <w:p>
      <w:pPr>
        <w:ind w:firstLine="2711"/>
        <w:rPr>
          <w:rFonts w:hint="eastAsia"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919"/>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19"/>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19"/>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919"/>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19"/>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本合同所提供的服务、货物及数量详见“项目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19"/>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919"/>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p>
    <w:p>
      <w:pPr>
        <w:pStyle w:val="919"/>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服务时间和地点</w:t>
      </w:r>
      <w:r/>
    </w:p>
    <w:p>
      <w:pPr>
        <w:pStyle w:val="91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本合同服务时间和地点在磋商文件中有明确规定。</w:t>
      </w:r>
      <w:r/>
    </w:p>
    <w:p>
      <w:pPr>
        <w:pStyle w:val="919"/>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919"/>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本合同的付款条件在磋商文件中有明确规定。</w:t>
      </w:r>
      <w:r/>
    </w:p>
    <w:p>
      <w:pPr>
        <w:pStyle w:val="919"/>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919"/>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919"/>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p>
    <w:p>
      <w:pPr>
        <w:pStyle w:val="91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u w:val="single"/>
        </w:rPr>
        <w:t xml:space="preserve">合同金额的  %</w:t>
      </w:r>
      <w:r>
        <w:rPr>
          <w:rFonts w:ascii="仿宋" w:hAnsi="仿宋" w:eastAsia="仿宋"/>
          <w:sz w:val="28"/>
          <w:szCs w:val="28"/>
        </w:rPr>
        <w:t xml:space="preserve">作为本合同的履约保证金。</w:t>
      </w:r>
      <w:r/>
    </w:p>
    <w:p>
      <w:pPr>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个工作日内，甲方应将履约保证金退还乙方；逾期退还的，按中国人民银行同期贷款基准利率上浮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7、履约保证金在合同约定期间内不予退还或者完全有效，履约保证金在项目验收合格后无息退还给乙方。</w:t>
      </w:r>
      <w:r/>
    </w:p>
    <w:p>
      <w:pPr>
        <w:pStyle w:val="919"/>
        <w:ind w:firstLine="562"/>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八、合同生效及其他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919"/>
        <w:spacing w:line="520" w:lineRule="exact"/>
        <w:rPr>
          <w:rFonts w:hint="eastAsia" w:ascii="仿宋" w:hAnsi="仿宋" w:eastAsia="仿宋"/>
          <w:sz w:val="28"/>
        </w:rPr>
      </w:pPr>
      <w:r>
        <w:rPr>
          <w:rFonts w:hint="eastAsia" w:ascii="仿宋" w:hAnsi="仿宋" w:eastAsia="仿宋"/>
          <w:sz w:val="28"/>
        </w:rPr>
      </w:r>
      <w:r/>
    </w:p>
    <w:p>
      <w:pPr>
        <w:pStyle w:val="919"/>
        <w:spacing w:line="520" w:lineRule="exact"/>
        <w:rPr>
          <w:rFonts w:hint="eastAsia" w:ascii="仿宋" w:hAnsi="仿宋" w:eastAsia="仿宋"/>
          <w:sz w:val="28"/>
          <w:szCs w:val="28"/>
        </w:rPr>
      </w:pPr>
      <w:r>
        <w:rPr>
          <w:rFonts w:hint="eastAsia" w:ascii="仿宋" w:hAnsi="仿宋" w:eastAsia="仿宋"/>
          <w:sz w:val="28"/>
          <w:szCs w:val="28"/>
        </w:rPr>
      </w:r>
      <w:r/>
    </w:p>
    <w:p>
      <w:pPr>
        <w:pStyle w:val="919"/>
        <w:spacing w:line="520" w:lineRule="exact"/>
        <w:rPr>
          <w:rFonts w:hint="eastAsia" w:ascii="仿宋" w:hAnsi="仿宋" w:eastAsia="仿宋"/>
          <w:sz w:val="28"/>
          <w:szCs w:val="28"/>
        </w:rPr>
      </w:pPr>
      <w:r>
        <w:rPr>
          <w:rFonts w:hint="eastAsia" w:ascii="仿宋" w:hAnsi="仿宋" w:eastAsia="仿宋"/>
          <w:sz w:val="28"/>
          <w:szCs w:val="28"/>
        </w:rPr>
      </w:r>
      <w:r/>
    </w:p>
    <w:p>
      <w:pPr>
        <w:pStyle w:val="919"/>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19"/>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919"/>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919"/>
        <w:spacing w:line="520" w:lineRule="exact"/>
        <w:rPr>
          <w:rFonts w:hint="eastAsia" w:ascii="仿宋" w:hAnsi="仿宋" w:eastAsia="仿宋"/>
          <w:sz w:val="28"/>
          <w:szCs w:val="24"/>
        </w:rPr>
      </w:pPr>
      <w:r>
        <w:rPr>
          <w:rFonts w:hint="eastAsia" w:ascii="仿宋" w:hAnsi="仿宋" w:eastAsia="仿宋"/>
          <w:sz w:val="28"/>
          <w:szCs w:val="24"/>
        </w:rPr>
        <w:t xml:space="preserve">签定日期:                          签定日期:</w:t>
      </w:r>
      <w:r/>
    </w:p>
    <w:p>
      <w:pPr>
        <w:pStyle w:val="919"/>
        <w:spacing w:line="520" w:lineRule="exact"/>
        <w:rPr>
          <w:rFonts w:hint="eastAsia" w:ascii="仿宋" w:hAnsi="仿宋" w:eastAsia="仿宋"/>
          <w:sz w:val="28"/>
          <w:szCs w:val="24"/>
        </w:rPr>
      </w:pPr>
      <w:r>
        <w:rPr>
          <w:rFonts w:hint="eastAsia" w:ascii="仿宋" w:hAnsi="仿宋" w:eastAsia="仿宋"/>
          <w:sz w:val="28"/>
          <w:szCs w:val="24"/>
        </w:rPr>
      </w:r>
      <w:r/>
    </w:p>
    <w:p>
      <w:pPr>
        <w:rPr>
          <w:rFonts w:hint="eastAsia" w:ascii="宋体" w:hAnsi="宋体"/>
          <w:bCs/>
          <w:sz w:val="32"/>
          <w:szCs w:val="32"/>
        </w:rPr>
      </w:pPr>
      <w:r>
        <w:rPr>
          <w:rFonts w:hint="eastAsia" w:ascii="宋体" w:hAnsi="宋体"/>
          <w:bCs/>
          <w:sz w:val="32"/>
          <w:szCs w:val="32"/>
        </w:rPr>
        <w:t xml:space="preserve">       </w:t>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660"/>
        <w:spacing w:line="520" w:lineRule="exact"/>
        <w:rPr>
          <w:rFonts w:hint="eastAsia"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安全无损运抵至现场。由于包装不善所引起的货物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4.2每件包装箱内应附一份详细装箱单和质量合格证。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6.3甲方将按磋商文件中规定的付款方式安排付款。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hint="eastAsia"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14.税费</w:t>
      </w:r>
      <w:r/>
    </w:p>
    <w:p>
      <w:pPr>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ind w:firstLine="570"/>
        <w:spacing w:line="520" w:lineRule="exact"/>
        <w:rPr>
          <w:rFonts w:hint="eastAsia"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p>
    <w:p>
      <w:pPr>
        <w:pStyle w:val="993"/>
        <w:ind w:firstLine="560"/>
        <w:spacing w:line="520" w:lineRule="exact"/>
        <w:rPr>
          <w:rFonts w:hint="eastAsia" w:hAnsi="仿宋" w:cs="Times New Roman"/>
          <w:sz w:val="28"/>
          <w:szCs w:val="28"/>
        </w:rPr>
      </w:pPr>
      <w:r>
        <w:rPr>
          <w:rFonts w:hint="eastAsia" w:hAnsi="仿宋" w:cs="Times New Roman"/>
          <w:sz w:val="28"/>
          <w:szCs w:val="28"/>
        </w:rPr>
        <w:t xml:space="preserve">（1）如果乙方未能在合同规定的期限或甲方同意延期的限期内提供全部或部分货物（含软件及相关服务）；</w:t>
      </w:r>
      <w:r>
        <w:rPr>
          <w:rFonts w:hAnsi="仿宋" w:cs="Times New Roman"/>
          <w:sz w:val="28"/>
          <w:szCs w:val="28"/>
        </w:rPr>
        <w:t xml:space="preserve"> </w:t>
      </w:r>
      <w:r/>
    </w:p>
    <w:p>
      <w:pPr>
        <w:pStyle w:val="993"/>
        <w:ind w:firstLine="560"/>
        <w:spacing w:line="520" w:lineRule="exact"/>
        <w:rPr>
          <w:rFonts w:hint="eastAsia" w:hAnsi="仿宋" w:cs="Times New Roman"/>
          <w:sz w:val="28"/>
          <w:szCs w:val="28"/>
        </w:rPr>
      </w:pPr>
      <w:r>
        <w:rPr>
          <w:rFonts w:hint="eastAsia" w:hAnsi="仿宋" w:cs="Times New Roman"/>
          <w:sz w:val="28"/>
          <w:szCs w:val="28"/>
        </w:rPr>
        <w:t xml:space="preserve">（</w:t>
      </w:r>
      <w:r>
        <w:rPr>
          <w:rFonts w:hAnsi="仿宋" w:cs="Times New Roman"/>
          <w:sz w:val="28"/>
          <w:szCs w:val="28"/>
        </w:rPr>
        <w:t xml:space="preserve">2</w:t>
      </w:r>
      <w:r>
        <w:rPr>
          <w:rFonts w:hint="eastAsia" w:hAnsi="仿宋" w:cs="Times New Roman"/>
          <w:sz w:val="28"/>
          <w:szCs w:val="28"/>
        </w:rPr>
        <w:t xml:space="preserve">）如果乙方未能履行合同规定的其它义务。</w:t>
      </w:r>
      <w:r>
        <w:rPr>
          <w:rFonts w:hAnsi="仿宋" w:cs="Times New Roman"/>
          <w:sz w:val="28"/>
          <w:szCs w:val="28"/>
        </w:rPr>
        <w:t xml:space="preserve"> </w:t>
      </w:r>
      <w:r/>
    </w:p>
    <w:p>
      <w:pPr>
        <w:pStyle w:val="993"/>
        <w:ind w:firstLine="560"/>
        <w:spacing w:line="520" w:lineRule="exact"/>
        <w:rPr>
          <w:rFonts w:hint="eastAsia" w:hAnsi="仿宋" w:cs="Times New Roman"/>
          <w:sz w:val="28"/>
          <w:szCs w:val="28"/>
        </w:rPr>
      </w:pPr>
      <w:r>
        <w:rPr>
          <w:rFonts w:hint="eastAsia" w:hAnsi="仿宋" w:cs="Times New Roman"/>
          <w:sz w:val="28"/>
          <w:szCs w:val="28"/>
        </w:rPr>
        <w:t xml:space="preserve">16</w:t>
      </w:r>
      <w:r>
        <w:rPr>
          <w:rFonts w:hAnsi="仿宋" w:cs="Times New Roman"/>
          <w:sz w:val="28"/>
          <w:szCs w:val="28"/>
        </w:rPr>
        <w:t xml:space="preserve">.2 </w:t>
      </w:r>
      <w:r>
        <w:rPr>
          <w:rFonts w:hint="eastAsia" w:hAnsi="仿宋" w:cs="Times New Roman"/>
          <w:sz w:val="28"/>
          <w:szCs w:val="28"/>
        </w:rPr>
        <w:t xml:space="preserve">在甲方根据第17</w:t>
      </w:r>
      <w:r>
        <w:rPr>
          <w:rFonts w:hAnsi="仿宋" w:cs="Times New Roman"/>
          <w:sz w:val="28"/>
          <w:szCs w:val="28"/>
        </w:rPr>
        <w:t xml:space="preserve">.</w:t>
      </w:r>
      <w:r>
        <w:rPr>
          <w:rFonts w:hint="eastAsia" w:hAnsi="仿宋" w:cs="Times New Roman"/>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19"/>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919"/>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19"/>
        <w:spacing w:line="520" w:lineRule="exact"/>
        <w:rPr>
          <w:rFonts w:hint="eastAsia" w:ascii="仿宋" w:hAnsi="仿宋" w:eastAsia="仿宋"/>
          <w:sz w:val="28"/>
        </w:rPr>
      </w:pPr>
      <w:r>
        <w:rPr>
          <w:rFonts w:hint="eastAsia" w:ascii="仿宋" w:hAnsi="仿宋" w:eastAsia="仿宋"/>
          <w:sz w:val="28"/>
        </w:rPr>
        <w:t xml:space="preserve">18.转让</w:t>
      </w:r>
      <w:r/>
    </w:p>
    <w:p>
      <w:pPr>
        <w:pStyle w:val="919"/>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19"/>
        <w:spacing w:line="520" w:lineRule="exact"/>
        <w:rPr>
          <w:rFonts w:hint="eastAsia" w:ascii="仿宋" w:hAnsi="仿宋" w:eastAsia="仿宋"/>
          <w:sz w:val="28"/>
        </w:rPr>
      </w:pPr>
      <w:r>
        <w:rPr>
          <w:rFonts w:hint="eastAsia" w:ascii="仿宋" w:hAnsi="仿宋" w:eastAsia="仿宋"/>
          <w:sz w:val="28"/>
        </w:rPr>
        <w:t xml:space="preserve">19.合同生效及其它</w:t>
      </w:r>
      <w:r/>
    </w:p>
    <w:p>
      <w:pPr>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u w:val="single"/>
        </w:rPr>
        <w:t xml:space="preserve">      </w:t>
      </w:r>
      <w:r>
        <w:rPr>
          <w:rFonts w:hint="eastAsia" w:ascii="仿宋" w:hAnsi="仿宋" w:eastAsia="仿宋"/>
          <w:sz w:val="28"/>
          <w:szCs w:val="28"/>
        </w:rPr>
        <w:t xml:space="preserve">磋商文件、乙方提交的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919"/>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19"/>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919"/>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919"/>
        <w:ind w:firstLine="2873"/>
        <w:spacing w:line="520" w:lineRule="exact"/>
        <w:rPr>
          <w:rFonts w:hint="eastAsia" w:ascii="仿宋" w:hAnsi="仿宋" w:eastAsia="仿宋"/>
          <w:b/>
          <w:bCs/>
          <w:sz w:val="36"/>
          <w:szCs w:val="36"/>
        </w:rPr>
      </w:pPr>
      <w:r>
        <w:rPr>
          <w:rFonts w:ascii="仿宋" w:hAnsi="仿宋" w:eastAsia="仿宋"/>
          <w:b/>
          <w:bCs/>
          <w:sz w:val="36"/>
          <w:szCs w:val="36"/>
        </w:rPr>
        <w:br w:type="page" w:clear="all"/>
      </w:r>
      <w:r/>
    </w:p>
    <w:p>
      <w:pPr>
        <w:pStyle w:val="919"/>
        <w:ind w:firstLine="2873"/>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p>
    <w:p>
      <w:pPr>
        <w:pStyle w:val="741"/>
        <w:ind w:firstLine="562"/>
        <w:spacing w:line="520" w:lineRule="exact"/>
        <w:rPr>
          <w:rFonts w:ascii="Times New Roman" w:hAnsi="Times New Roman" w:eastAsia="仿宋_GB2312"/>
          <w:b/>
          <w:sz w:val="36"/>
          <w:szCs w:val="36"/>
          <w:lang w:val="zh-CN"/>
        </w:rPr>
      </w:pPr>
      <w:r>
        <w:rPr>
          <w:rFonts w:ascii="Times New Roman" w:hAnsi="Times New Roman" w:eastAsia="仿宋_GB2312"/>
          <w:b/>
          <w:sz w:val="28"/>
          <w:szCs w:val="28"/>
        </w:rPr>
        <w:t xml:space="preserve">一、项目概况</w:t>
      </w:r>
      <w:r/>
    </w:p>
    <w:p>
      <w:pPr>
        <w:pStyle w:val="735"/>
        <w:ind w:firstLine="560"/>
        <w:spacing w:line="520" w:lineRule="exact"/>
        <w:rPr>
          <w:rFonts w:eastAsia="仿宋_GB2312"/>
          <w:bCs/>
          <w:sz w:val="28"/>
        </w:rPr>
      </w:pPr>
      <w:r>
        <w:rPr>
          <w:rFonts w:eastAsia="仿宋_GB2312"/>
          <w:sz w:val="28"/>
        </w:rPr>
        <w:t xml:space="preserve">1、本项目主要是对</w:t>
      </w:r>
      <w:r>
        <w:rPr>
          <w:rFonts w:eastAsia="仿宋_GB2312"/>
          <w:bCs/>
          <w:sz w:val="28"/>
        </w:rPr>
        <w:t xml:space="preserve">里运河防洪控制工程（包括堂子巷控制工程与北门桥控制工程）实施委托管理，对工程相应闸（泵）站机组设备、相关的变配电设施及其它配套管理设施等进行管理、养护，组织开展工程运行管理、设备维修保养、安全管理、电气预防性试验、工程观测、水下检查、绿化养护、安全保卫、后勤保障等工作。</w:t>
      </w:r>
      <w:r/>
    </w:p>
    <w:p>
      <w:pPr>
        <w:ind w:firstLine="560"/>
        <w:spacing w:line="520" w:lineRule="exact"/>
        <w:rPr>
          <w:rFonts w:eastAsia="仿宋_GB2312"/>
          <w:sz w:val="28"/>
        </w:rPr>
      </w:pPr>
      <w:r>
        <w:rPr>
          <w:rFonts w:eastAsia="仿宋_GB2312"/>
          <w:sz w:val="28"/>
        </w:rPr>
        <w:t xml:space="preserve">2、工程规模:堂子巷控制工程泵站为大（2）型、节制闸为中型；北门桥控制工程节制闸为中型。</w:t>
      </w:r>
      <w:r/>
    </w:p>
    <w:p>
      <w:pPr>
        <w:ind w:firstLine="562"/>
        <w:spacing w:line="520" w:lineRule="exact"/>
        <w:rPr>
          <w:rFonts w:eastAsia="仿宋_GB2312"/>
          <w:bCs/>
          <w:sz w:val="28"/>
          <w:szCs w:val="28"/>
        </w:rPr>
      </w:pPr>
      <w:r>
        <w:rPr>
          <w:rFonts w:eastAsia="仿宋_GB2312"/>
          <w:b/>
          <w:sz w:val="28"/>
          <w:szCs w:val="28"/>
        </w:rPr>
        <w:t xml:space="preserve">二、主要委托管理内容</w:t>
      </w:r>
      <w:r/>
    </w:p>
    <w:p>
      <w:pPr>
        <w:ind w:firstLine="560"/>
        <w:spacing w:line="520" w:lineRule="exact"/>
        <w:rPr>
          <w:rFonts w:eastAsia="仿宋_GB2312"/>
          <w:sz w:val="28"/>
        </w:rPr>
      </w:pPr>
      <w:r>
        <w:rPr>
          <w:rFonts w:eastAsia="仿宋_GB2312"/>
          <w:sz w:val="28"/>
        </w:rPr>
        <w:t xml:space="preserve">对里运河防洪控制工程相应闸（泵）站机组设备、相关的变配电设施及其它配套管理设施等进行管理，管理内容涵盖组织管理、安全管理、运行管理、技术服务、绿化保洁、安全保卫、后勤保障等工作。具体内容包括:做好节制闸及辅助系统、泵站主机泵及控制启闭系统、消防安保设备、高低压柜、清污机</w:t>
      </w:r>
      <w:r>
        <w:rPr>
          <w:rFonts w:eastAsia="仿宋_GB2312"/>
          <w:sz w:val="28"/>
        </w:rPr>
        <w:t xml:space="preserve">、发电机、拦污栅等设备管理养护及机组运行工作；落实工程管理规范化管理制度建设；解决工程维修养护中的疑难问题；指导采购人开展机组岁修、大修工作；实施电气预防性试验、水工建筑物观测、水下检查等工作；指导采购人开展设备评级、度建设等规范化管理工作；定期开展闸站工程运行管理业务培训；协助采购人开展相关创建前期准备工作；协助采购人开展工程运行管理水平评价工作，并提供相关意见建议；负责里运河防洪控制工程工程管理区域内卫生保洁、绿化养护工作；负责里运河防洪控制工程管理区域安全保卫工作；负责堂子巷工程食堂运行等后勤保障工作</w:t>
      </w:r>
      <w:r>
        <w:rPr>
          <w:rFonts w:hint="eastAsia" w:eastAsia="仿宋_GB2312"/>
          <w:sz w:val="28"/>
        </w:rPr>
        <w:t xml:space="preserve">，负责</w:t>
      </w:r>
      <w:r>
        <w:rPr>
          <w:rFonts w:eastAsia="仿宋_GB2312"/>
          <w:sz w:val="28"/>
          <w:szCs w:val="28"/>
        </w:rPr>
        <w:t xml:space="preserve">里运河防洪控制工程水费及网络费</w:t>
      </w:r>
      <w:r>
        <w:rPr>
          <w:rFonts w:eastAsia="仿宋_GB2312"/>
          <w:sz w:val="28"/>
          <w:szCs w:val="28"/>
          <w:highlight w:val="none"/>
        </w:rPr>
        <w:t xml:space="preserve">、办公区办公设施、生活区生活设施</w:t>
      </w:r>
      <w:r>
        <w:rPr>
          <w:rFonts w:hint="eastAsia" w:eastAsia="仿宋_GB2312"/>
          <w:sz w:val="28"/>
          <w:szCs w:val="28"/>
          <w:highlight w:val="none"/>
        </w:rPr>
        <w:t xml:space="preserve">维修，</w:t>
      </w:r>
      <w:r>
        <w:rPr>
          <w:rFonts w:eastAsia="仿宋_GB2312"/>
          <w:sz w:val="28"/>
          <w:szCs w:val="28"/>
          <w:highlight w:val="none"/>
        </w:rPr>
        <w:t xml:space="preserve">管</w:t>
      </w:r>
      <w:r>
        <w:rPr>
          <w:rFonts w:eastAsia="仿宋_GB2312"/>
          <w:sz w:val="28"/>
          <w:szCs w:val="28"/>
        </w:rPr>
        <w:t xml:space="preserve">理区域单项500元以下设施维修，以及办公用品</w:t>
      </w:r>
      <w:r>
        <w:rPr>
          <w:rFonts w:hint="eastAsia" w:eastAsia="仿宋_GB2312"/>
          <w:sz w:val="28"/>
          <w:szCs w:val="28"/>
        </w:rPr>
        <w:t xml:space="preserve">采购</w:t>
      </w:r>
      <w:r>
        <w:rPr>
          <w:rFonts w:eastAsia="仿宋_GB2312"/>
          <w:sz w:val="28"/>
          <w:szCs w:val="28"/>
        </w:rPr>
        <w:t xml:space="preserve">、</w:t>
      </w:r>
      <w:r>
        <w:rPr>
          <w:rFonts w:hint="eastAsia" w:eastAsia="仿宋_GB2312"/>
          <w:sz w:val="28"/>
          <w:szCs w:val="28"/>
        </w:rPr>
        <w:t xml:space="preserve">临时排水机泵架设维修等</w:t>
      </w:r>
      <w:r>
        <w:rPr>
          <w:rFonts w:eastAsia="仿宋_GB2312"/>
          <w:sz w:val="28"/>
        </w:rPr>
        <w:t xml:space="preserve">。</w:t>
      </w:r>
      <w:r/>
    </w:p>
    <w:p>
      <w:pPr>
        <w:ind w:firstLine="422"/>
        <w:spacing w:line="520" w:lineRule="exact"/>
        <w:rPr>
          <w:rFonts w:eastAsia="仿宋_GB2312"/>
          <w:bCs/>
          <w:sz w:val="28"/>
          <w:szCs w:val="28"/>
        </w:rPr>
      </w:pPr>
      <w:r>
        <w:rPr>
          <w:rFonts w:eastAsia="仿宋_GB2312"/>
          <w:b/>
          <w:sz w:val="28"/>
          <w:szCs w:val="28"/>
        </w:rPr>
        <w:t xml:space="preserve">三、主要委托管理要求</w:t>
      </w:r>
      <w:r/>
    </w:p>
    <w:p>
      <w:pPr>
        <w:ind w:firstLine="280"/>
        <w:spacing w:line="520" w:lineRule="exact"/>
        <w:rPr>
          <w:rFonts w:eastAsia="仿宋_GB2312"/>
          <w:bCs/>
          <w:sz w:val="28"/>
          <w:szCs w:val="28"/>
        </w:rPr>
      </w:pPr>
      <w:r>
        <w:rPr>
          <w:rFonts w:eastAsia="仿宋_GB2312"/>
          <w:bCs/>
          <w:sz w:val="28"/>
          <w:szCs w:val="28"/>
        </w:rPr>
        <w:t xml:space="preserve">（一）技术管理要求</w:t>
      </w:r>
      <w:r>
        <w:rPr>
          <w:rFonts w:eastAsia="仿宋_GB2312"/>
          <w:bCs/>
          <w:sz w:val="28"/>
          <w:szCs w:val="28"/>
        </w:rPr>
        <w:tab/>
      </w:r>
      <w:r/>
    </w:p>
    <w:p>
      <w:pPr>
        <w:ind w:firstLine="560"/>
        <w:spacing w:line="520" w:lineRule="exact"/>
        <w:rPr>
          <w:rFonts w:eastAsia="仿宋_GB2312"/>
          <w:sz w:val="28"/>
        </w:rPr>
      </w:pPr>
      <w:r>
        <w:rPr>
          <w:rFonts w:eastAsia="仿宋_GB2312"/>
          <w:sz w:val="28"/>
        </w:rPr>
        <w:t xml:space="preserve">1.参照《江苏省泵站技术管理办法》、《江苏省水闸技术管理办法》及电力等其它行业有关规范和标准，结合工程具体情况，制订本工程具体的技术管理细则，并报采购人批准后执行。</w:t>
      </w:r>
      <w:r/>
    </w:p>
    <w:p>
      <w:pPr>
        <w:ind w:firstLine="560"/>
        <w:spacing w:line="520" w:lineRule="exact"/>
        <w:rPr>
          <w:rFonts w:eastAsia="仿宋_GB2312"/>
          <w:sz w:val="28"/>
        </w:rPr>
      </w:pPr>
      <w:r>
        <w:rPr>
          <w:rFonts w:eastAsia="仿宋_GB2312"/>
          <w:sz w:val="28"/>
        </w:rPr>
        <w:t xml:space="preserve">2.加强对委托管理范围内工程设施、设备等的检查养护工作，实行定期检查制度，并及时将检查情况向采购人汇报。</w:t>
      </w:r>
      <w:r/>
    </w:p>
    <w:p>
      <w:pPr>
        <w:ind w:firstLine="560"/>
        <w:spacing w:line="520" w:lineRule="exact"/>
        <w:rPr>
          <w:rFonts w:eastAsia="仿宋_GB2312"/>
          <w:sz w:val="28"/>
        </w:rPr>
      </w:pPr>
      <w:r>
        <w:rPr>
          <w:rFonts w:eastAsia="仿宋_GB2312"/>
          <w:sz w:val="28"/>
        </w:rPr>
        <w:t xml:space="preserve">3.应组织技术管理人员认真学习本工程的管理细则和有关技术标准，熟悉工程规划、设计、施工等情况，熟悉工程各部位结构，掌握控制运用、养护修理等管理业务，做好工程的技术管理工作。</w:t>
      </w:r>
      <w:r/>
    </w:p>
    <w:p>
      <w:pPr>
        <w:ind w:firstLine="560"/>
        <w:spacing w:line="520" w:lineRule="exact"/>
        <w:rPr>
          <w:rFonts w:eastAsia="仿宋_GB2312"/>
          <w:sz w:val="28"/>
        </w:rPr>
      </w:pPr>
      <w:r>
        <w:rPr>
          <w:rFonts w:eastAsia="仿宋_GB2312"/>
          <w:sz w:val="28"/>
        </w:rPr>
        <w:t xml:space="preserve">4.根据泵站、水闸等规范以及本工程设施、设备的实际情况和采购人的有关要求，编制工程设施、设备运行管理、维护保养的工作计划，并及时上报合同外的备品备件采购计划。</w:t>
      </w:r>
      <w:r/>
    </w:p>
    <w:p>
      <w:pPr>
        <w:ind w:firstLine="560"/>
        <w:spacing w:line="520" w:lineRule="exact"/>
        <w:rPr>
          <w:rFonts w:eastAsia="仿宋_GB2312"/>
          <w:sz w:val="28"/>
        </w:rPr>
      </w:pPr>
      <w:r>
        <w:rPr>
          <w:rFonts w:eastAsia="仿宋_GB2312"/>
          <w:sz w:val="28"/>
        </w:rPr>
        <w:t xml:space="preserve">5.参照《江苏省泵站技术管理办法》、《江苏省水闸技术管理办法》及电力等其它行业有关的部、省规范和标准，结合工程具体情况，开展运行管理工作进行评价工作。</w:t>
      </w:r>
      <w:r/>
    </w:p>
    <w:p>
      <w:pPr>
        <w:ind w:firstLine="560"/>
        <w:spacing w:line="520" w:lineRule="exact"/>
        <w:rPr>
          <w:rFonts w:eastAsia="仿宋_GB2312"/>
          <w:sz w:val="28"/>
        </w:rPr>
      </w:pPr>
      <w:r>
        <w:rPr>
          <w:rFonts w:eastAsia="仿宋_GB2312"/>
          <w:sz w:val="28"/>
        </w:rPr>
        <w:t xml:space="preserve">6.解决工程机组设备维修养护过程中存在的疑难问题。</w:t>
      </w:r>
      <w:r/>
    </w:p>
    <w:p>
      <w:pPr>
        <w:ind w:firstLine="560"/>
        <w:spacing w:line="520" w:lineRule="exact"/>
        <w:rPr>
          <w:rFonts w:eastAsia="仿宋_GB2312"/>
          <w:sz w:val="28"/>
        </w:rPr>
      </w:pPr>
      <w:r>
        <w:rPr>
          <w:rFonts w:eastAsia="仿宋_GB2312"/>
          <w:sz w:val="28"/>
        </w:rPr>
        <w:t xml:space="preserve">7.协助采购人开展机组设备岁修、大修工作。</w:t>
      </w:r>
      <w:r/>
    </w:p>
    <w:p>
      <w:pPr>
        <w:ind w:firstLine="560"/>
        <w:spacing w:line="520" w:lineRule="exact"/>
        <w:rPr>
          <w:rFonts w:eastAsia="仿宋_GB2312"/>
          <w:sz w:val="28"/>
        </w:rPr>
      </w:pPr>
      <w:r>
        <w:rPr>
          <w:rFonts w:eastAsia="仿宋_GB2312"/>
          <w:sz w:val="28"/>
        </w:rPr>
        <w:t xml:space="preserve">8.指导项目运行管理人员熟悉本工程的有关技术标准、工程规划、设计、施工等情况，掌握控制运用、养护修理等管理业务。</w:t>
      </w:r>
      <w:r/>
    </w:p>
    <w:p>
      <w:pPr>
        <w:ind w:firstLine="560"/>
        <w:spacing w:line="520" w:lineRule="exact"/>
        <w:rPr>
          <w:rFonts w:eastAsia="仿宋_GB2312"/>
          <w:sz w:val="28"/>
        </w:rPr>
      </w:pPr>
      <w:r>
        <w:rPr>
          <w:rFonts w:eastAsia="仿宋_GB2312"/>
          <w:sz w:val="28"/>
        </w:rPr>
        <w:t xml:space="preserve">9.协助采购人做好达标创建、设备评级、制度建设等规范化管理工作，为工程申请高层次精细化管理单位打好基础。</w:t>
      </w:r>
      <w:r/>
    </w:p>
    <w:p>
      <w:pPr>
        <w:ind w:firstLine="560"/>
        <w:spacing w:line="520" w:lineRule="exact"/>
        <w:rPr>
          <w:rFonts w:eastAsia="仿宋_GB2312"/>
          <w:sz w:val="28"/>
        </w:rPr>
      </w:pPr>
      <w:r>
        <w:rPr>
          <w:rFonts w:eastAsia="仿宋_GB2312"/>
          <w:sz w:val="28"/>
        </w:rPr>
        <w:t xml:space="preserve">10.按时完成年度电气预防性试验</w:t>
      </w:r>
      <w:r>
        <w:rPr>
          <w:rFonts w:hint="eastAsia" w:eastAsia="仿宋_GB2312"/>
          <w:sz w:val="28"/>
        </w:rPr>
        <w:t xml:space="preserve">、水下检查</w:t>
      </w:r>
      <w:r>
        <w:rPr>
          <w:rFonts w:eastAsia="仿宋_GB2312"/>
          <w:sz w:val="28"/>
        </w:rPr>
        <w:t xml:space="preserve">及水工建筑物沉降观测</w:t>
      </w:r>
      <w:r>
        <w:rPr>
          <w:rFonts w:hint="eastAsia" w:eastAsia="仿宋_GB2312"/>
          <w:sz w:val="28"/>
        </w:rPr>
        <w:t xml:space="preserve">、侧岸绕渗观测</w:t>
      </w:r>
      <w:r>
        <w:rPr>
          <w:rFonts w:eastAsia="仿宋_GB2312"/>
          <w:sz w:val="28"/>
        </w:rPr>
        <w:t xml:space="preserve">，出具相应的报告，并对检测结果负责，同时应积极协助采购人解决检测出的相关问题。</w:t>
      </w:r>
      <w:r/>
    </w:p>
    <w:p>
      <w:pPr>
        <w:ind w:firstLine="560"/>
        <w:spacing w:line="520" w:lineRule="exact"/>
        <w:rPr>
          <w:rFonts w:eastAsia="仿宋_GB2312"/>
          <w:sz w:val="28"/>
        </w:rPr>
      </w:pPr>
      <w:r>
        <w:rPr>
          <w:rFonts w:eastAsia="仿宋_GB2312"/>
          <w:sz w:val="28"/>
        </w:rPr>
        <w:t xml:space="preserve">11、定期组织运行管理人员、管理单位人员开展闸站工程业务知识、技能培训，培训频率每季度不低于一次。</w:t>
      </w:r>
      <w:r/>
    </w:p>
    <w:p>
      <w:pPr>
        <w:ind w:firstLine="560"/>
        <w:spacing w:line="520" w:lineRule="exact"/>
        <w:rPr>
          <w:rFonts w:eastAsia="仿宋_GB2312"/>
          <w:sz w:val="28"/>
        </w:rPr>
      </w:pPr>
      <w:r>
        <w:rPr>
          <w:rFonts w:eastAsia="仿宋_GB2312"/>
          <w:sz w:val="28"/>
        </w:rPr>
        <w:t xml:space="preserve">（二）运行管理、设备养护基本要求(不限于以下要求)</w:t>
      </w:r>
      <w:r/>
    </w:p>
    <w:p>
      <w:pPr>
        <w:ind w:firstLine="560"/>
        <w:spacing w:line="520" w:lineRule="exact"/>
        <w:rPr>
          <w:rFonts w:eastAsia="仿宋_GB2312"/>
          <w:sz w:val="28"/>
        </w:rPr>
      </w:pPr>
      <w:r>
        <w:rPr>
          <w:rFonts w:eastAsia="仿宋_GB2312"/>
          <w:sz w:val="28"/>
        </w:rPr>
        <w:t xml:space="preserve">1.机电设备运行管理基本要求</w:t>
      </w:r>
      <w:r/>
    </w:p>
    <w:p>
      <w:pPr>
        <w:ind w:firstLine="560"/>
        <w:spacing w:line="520" w:lineRule="exact"/>
        <w:rPr>
          <w:rFonts w:eastAsia="仿宋_GB2312"/>
          <w:sz w:val="28"/>
        </w:rPr>
      </w:pPr>
      <w:r>
        <w:rPr>
          <w:rFonts w:eastAsia="仿宋_GB2312"/>
          <w:sz w:val="28"/>
        </w:rPr>
        <w:t xml:space="preserve">（1）按照《江苏省泵站技术管理办法》、《江苏省水闸技术管理办法》中有关规定定期对本工程相关设备进行检修保养及试验校核等工作，发现故障及时排除并分析原因，确保设备的完好和运行安全。</w:t>
      </w:r>
      <w:r/>
    </w:p>
    <w:p>
      <w:pPr>
        <w:ind w:firstLine="560"/>
        <w:spacing w:line="520" w:lineRule="exact"/>
        <w:rPr>
          <w:rFonts w:eastAsia="仿宋_GB2312"/>
          <w:sz w:val="28"/>
        </w:rPr>
      </w:pPr>
      <w:r>
        <w:rPr>
          <w:rFonts w:eastAsia="仿宋_GB2312"/>
          <w:sz w:val="28"/>
        </w:rPr>
        <w:t xml:space="preserve">（2）严格执行各类电气设备的运行、操作、检修规程，杜绝人为重大设备事故的发生。</w:t>
      </w:r>
      <w:r/>
    </w:p>
    <w:p>
      <w:pPr>
        <w:ind w:firstLine="560"/>
        <w:spacing w:line="520" w:lineRule="exact"/>
        <w:rPr>
          <w:rFonts w:eastAsia="仿宋_GB2312"/>
          <w:sz w:val="28"/>
        </w:rPr>
      </w:pPr>
      <w:r>
        <w:rPr>
          <w:rFonts w:eastAsia="仿宋_GB2312"/>
          <w:sz w:val="28"/>
        </w:rPr>
        <w:t xml:space="preserve">（3）至少二人以上持有高压操作证人员才能进入高低压室巡检，如需进行维修，按工作需要填写工作票，且检修时必须有专职的监护人专职监护。</w:t>
      </w:r>
      <w:r/>
    </w:p>
    <w:p>
      <w:pPr>
        <w:ind w:firstLine="560"/>
        <w:spacing w:line="520" w:lineRule="exact"/>
        <w:rPr>
          <w:rFonts w:eastAsia="仿宋_GB2312"/>
          <w:sz w:val="28"/>
        </w:rPr>
      </w:pPr>
      <w:r>
        <w:rPr>
          <w:rFonts w:eastAsia="仿宋_GB2312"/>
          <w:sz w:val="28"/>
        </w:rPr>
        <w:t xml:space="preserve">（4）机电设备运行、操作需严格执行“两票三制”制度。</w:t>
      </w:r>
      <w:r/>
    </w:p>
    <w:p>
      <w:pPr>
        <w:ind w:firstLine="560"/>
        <w:spacing w:line="520" w:lineRule="exact"/>
        <w:rPr>
          <w:rFonts w:eastAsia="仿宋_GB2312"/>
          <w:sz w:val="28"/>
        </w:rPr>
      </w:pPr>
      <w:r>
        <w:rPr>
          <w:rFonts w:eastAsia="仿宋_GB2312"/>
          <w:sz w:val="28"/>
        </w:rPr>
        <w:t xml:space="preserve">（5）运行、检修等必须有台帐记录。</w:t>
      </w:r>
      <w:r/>
    </w:p>
    <w:p>
      <w:pPr>
        <w:ind w:firstLine="560"/>
        <w:spacing w:line="520" w:lineRule="exact"/>
        <w:rPr>
          <w:rFonts w:eastAsia="仿宋_GB2312"/>
          <w:sz w:val="28"/>
        </w:rPr>
      </w:pPr>
      <w:r>
        <w:rPr>
          <w:rFonts w:eastAsia="仿宋_GB2312"/>
          <w:sz w:val="28"/>
        </w:rPr>
        <w:t xml:space="preserve">（6）编制主要设备维修计划上报采购人。</w:t>
      </w:r>
      <w:r/>
    </w:p>
    <w:p>
      <w:pPr>
        <w:ind w:firstLine="560"/>
        <w:spacing w:line="520" w:lineRule="exact"/>
        <w:rPr>
          <w:rFonts w:eastAsia="仿宋_GB2312"/>
          <w:sz w:val="28"/>
        </w:rPr>
      </w:pPr>
      <w:r>
        <w:rPr>
          <w:rFonts w:eastAsia="仿宋_GB2312"/>
          <w:sz w:val="28"/>
        </w:rPr>
        <w:t xml:space="preserve">2.高低压电气设备养护要求</w:t>
      </w:r>
      <w:r/>
    </w:p>
    <w:p>
      <w:pPr>
        <w:ind w:firstLine="560"/>
        <w:spacing w:line="520" w:lineRule="exact"/>
        <w:rPr>
          <w:rFonts w:eastAsia="仿宋_GB2312"/>
          <w:sz w:val="28"/>
        </w:rPr>
      </w:pPr>
      <w:r>
        <w:rPr>
          <w:rFonts w:eastAsia="仿宋_GB2312"/>
          <w:sz w:val="28"/>
        </w:rPr>
        <w:t xml:space="preserve">（1）严格遵守有关高低压电气设备运行、操作和检修规程中的有关规定。</w:t>
      </w:r>
      <w:r/>
    </w:p>
    <w:p>
      <w:pPr>
        <w:ind w:firstLine="560"/>
        <w:spacing w:line="520" w:lineRule="exact"/>
        <w:rPr>
          <w:rFonts w:eastAsia="仿宋_GB2312"/>
          <w:sz w:val="28"/>
        </w:rPr>
      </w:pPr>
      <w:r>
        <w:rPr>
          <w:rFonts w:eastAsia="仿宋_GB2312"/>
          <w:sz w:val="28"/>
        </w:rPr>
        <w:t xml:space="preserve">（2）变压器、电压互感器、电流互感器、隔离开关、真空开关等电气设备及其开关柜外观清洁、无异常现象；各种开关、继电保护装置，触点良好，接头牢固。</w:t>
      </w:r>
      <w:r/>
    </w:p>
    <w:p>
      <w:pPr>
        <w:ind w:firstLine="560"/>
        <w:spacing w:line="520" w:lineRule="exact"/>
        <w:rPr>
          <w:rFonts w:eastAsia="仿宋_GB2312"/>
          <w:sz w:val="28"/>
        </w:rPr>
      </w:pPr>
      <w:r>
        <w:rPr>
          <w:rFonts w:eastAsia="仿宋_GB2312"/>
          <w:sz w:val="28"/>
        </w:rPr>
        <w:t xml:space="preserve">（3）蓄电池按规定进行充放电试验，电压、容量正常，极板无变形。</w:t>
      </w:r>
      <w:r/>
    </w:p>
    <w:p>
      <w:pPr>
        <w:ind w:firstLine="560"/>
        <w:spacing w:line="520" w:lineRule="exact"/>
        <w:rPr>
          <w:rFonts w:eastAsia="仿宋_GB2312"/>
          <w:sz w:val="28"/>
        </w:rPr>
      </w:pPr>
      <w:r>
        <w:rPr>
          <w:rFonts w:eastAsia="仿宋_GB2312"/>
          <w:sz w:val="28"/>
        </w:rPr>
        <w:t xml:space="preserve">（4）各种电力线路均应防止漏电、短路、断路、虚连等现象，定期测量导线绝缘电阻值。</w:t>
      </w:r>
      <w:r/>
    </w:p>
    <w:p>
      <w:pPr>
        <w:ind w:firstLine="560"/>
        <w:spacing w:line="520" w:lineRule="exact"/>
        <w:rPr>
          <w:rFonts w:eastAsia="仿宋_GB2312"/>
          <w:sz w:val="28"/>
        </w:rPr>
      </w:pPr>
      <w:r>
        <w:rPr>
          <w:rFonts w:eastAsia="仿宋_GB2312"/>
          <w:sz w:val="28"/>
        </w:rPr>
        <w:t xml:space="preserve">3.液压启闭机的养护要求</w:t>
      </w:r>
      <w:r/>
    </w:p>
    <w:p>
      <w:pPr>
        <w:ind w:firstLine="560"/>
        <w:spacing w:line="520" w:lineRule="exact"/>
        <w:rPr>
          <w:rFonts w:eastAsia="仿宋_GB2312"/>
          <w:sz w:val="28"/>
        </w:rPr>
      </w:pPr>
      <w:r>
        <w:rPr>
          <w:rFonts w:eastAsia="仿宋_GB2312"/>
          <w:sz w:val="28"/>
        </w:rPr>
        <w:t xml:space="preserve">（1）供油管和排油管应保持色标清晰，敷设牢固。</w:t>
      </w:r>
      <w:r/>
    </w:p>
    <w:p>
      <w:pPr>
        <w:ind w:firstLine="560"/>
        <w:spacing w:line="520" w:lineRule="exact"/>
        <w:rPr>
          <w:rFonts w:eastAsia="仿宋_GB2312"/>
          <w:sz w:val="28"/>
        </w:rPr>
      </w:pPr>
      <w:r>
        <w:rPr>
          <w:rFonts w:eastAsia="仿宋_GB2312"/>
          <w:sz w:val="28"/>
        </w:rPr>
        <w:t xml:space="preserve">（2）油缸支架与基体联接应牢固，活塞杆外露部位可设软防尘装置。</w:t>
      </w:r>
      <w:r/>
    </w:p>
    <w:p>
      <w:pPr>
        <w:ind w:firstLine="560"/>
        <w:spacing w:line="520" w:lineRule="exact"/>
        <w:rPr>
          <w:rFonts w:eastAsia="仿宋_GB2312"/>
          <w:sz w:val="28"/>
        </w:rPr>
      </w:pPr>
      <w:r>
        <w:rPr>
          <w:rFonts w:eastAsia="仿宋_GB2312"/>
          <w:sz w:val="28"/>
        </w:rPr>
        <w:t xml:space="preserve">（3）调控装置及指示仪表应定期检验。</w:t>
      </w:r>
      <w:r/>
    </w:p>
    <w:p>
      <w:pPr>
        <w:ind w:firstLine="560"/>
        <w:spacing w:line="520" w:lineRule="exact"/>
        <w:rPr>
          <w:rFonts w:eastAsia="仿宋_GB2312"/>
          <w:sz w:val="28"/>
        </w:rPr>
      </w:pPr>
      <w:r>
        <w:rPr>
          <w:rFonts w:eastAsia="仿宋_GB2312"/>
          <w:sz w:val="28"/>
        </w:rPr>
        <w:t xml:space="preserve">（4）工作油液应定期化验、过滤，油质和油箱内油量应符合规定。</w:t>
      </w:r>
      <w:r/>
    </w:p>
    <w:p>
      <w:pPr>
        <w:ind w:firstLine="560"/>
        <w:spacing w:line="520" w:lineRule="exact"/>
        <w:rPr>
          <w:rFonts w:eastAsia="仿宋_GB2312"/>
          <w:sz w:val="28"/>
        </w:rPr>
      </w:pPr>
      <w:r>
        <w:rPr>
          <w:rFonts w:eastAsia="仿宋_GB2312"/>
          <w:sz w:val="28"/>
        </w:rPr>
        <w:t xml:space="preserve">（5）油泵、油管系统应无渗油现象，日常维护过程中如若发现重大问题及时上报解决。</w:t>
      </w:r>
      <w:r/>
    </w:p>
    <w:p>
      <w:pPr>
        <w:ind w:firstLine="560"/>
        <w:spacing w:line="520" w:lineRule="exact"/>
        <w:rPr>
          <w:rFonts w:eastAsia="仿宋_GB2312"/>
          <w:sz w:val="28"/>
        </w:rPr>
      </w:pPr>
      <w:r>
        <w:rPr>
          <w:rFonts w:eastAsia="仿宋_GB2312"/>
          <w:sz w:val="28"/>
        </w:rPr>
        <w:t xml:space="preserve">4.闸门养护要求</w:t>
      </w:r>
      <w:r/>
    </w:p>
    <w:p>
      <w:pPr>
        <w:ind w:firstLine="560"/>
        <w:spacing w:line="520" w:lineRule="exact"/>
        <w:rPr>
          <w:rFonts w:eastAsia="仿宋_GB2312"/>
          <w:sz w:val="28"/>
        </w:rPr>
      </w:pPr>
      <w:r>
        <w:rPr>
          <w:rFonts w:eastAsia="仿宋_GB2312"/>
          <w:sz w:val="28"/>
        </w:rPr>
        <w:t xml:space="preserve">（1）闸门门体无影响安全的变形、锈蚀，无焊缝开裂、螺栓及铆钉松动；支承行走机构运转灵活；止水装置完好，门槽、门坎无损坏。</w:t>
      </w:r>
      <w:r/>
    </w:p>
    <w:p>
      <w:pPr>
        <w:ind w:firstLine="560"/>
        <w:spacing w:line="520" w:lineRule="exact"/>
        <w:rPr>
          <w:rFonts w:eastAsia="仿宋_GB2312"/>
          <w:sz w:val="28"/>
        </w:rPr>
      </w:pPr>
      <w:r>
        <w:rPr>
          <w:rFonts w:eastAsia="仿宋_GB2312"/>
          <w:sz w:val="28"/>
        </w:rPr>
        <w:t xml:space="preserve">（2）闸门的联接紧固件应保持牢固，启闭无异响。</w:t>
      </w:r>
      <w:r/>
    </w:p>
    <w:p>
      <w:pPr>
        <w:ind w:firstLine="560"/>
        <w:spacing w:line="520" w:lineRule="exact"/>
        <w:rPr>
          <w:rFonts w:eastAsia="仿宋_GB2312"/>
          <w:sz w:val="28"/>
        </w:rPr>
      </w:pPr>
      <w:r>
        <w:rPr>
          <w:rFonts w:eastAsia="仿宋_GB2312"/>
          <w:sz w:val="28"/>
        </w:rPr>
        <w:t xml:space="preserve">（3）运转部位的加油设施应保持完好、畅通，并定期加油，确保运转部位润滑可靠。闸门开度指示仪应定期校验，确保运转灵活，指示准确。</w:t>
      </w:r>
      <w:r/>
    </w:p>
    <w:p>
      <w:pPr>
        <w:ind w:firstLine="560"/>
        <w:spacing w:line="520" w:lineRule="exact"/>
        <w:rPr>
          <w:rFonts w:eastAsia="仿宋_GB2312"/>
          <w:sz w:val="28"/>
        </w:rPr>
      </w:pPr>
      <w:r>
        <w:rPr>
          <w:rFonts w:eastAsia="仿宋_GB2312"/>
          <w:sz w:val="28"/>
        </w:rPr>
        <w:t xml:space="preserve">（4）每周开启一次闸底板冲淤泵，检查运行情况。</w:t>
      </w:r>
      <w:r/>
    </w:p>
    <w:p>
      <w:pPr>
        <w:ind w:firstLine="560"/>
        <w:spacing w:line="520" w:lineRule="exact"/>
        <w:rPr>
          <w:rFonts w:eastAsia="仿宋_GB2312"/>
          <w:sz w:val="28"/>
        </w:rPr>
      </w:pPr>
      <w:r>
        <w:rPr>
          <w:rFonts w:eastAsia="仿宋_GB2312"/>
          <w:sz w:val="28"/>
        </w:rPr>
        <w:t xml:space="preserve">5. 里运河控制工程设备养护项目明细表</w:t>
      </w:r>
      <w:r/>
    </w:p>
    <w:tbl>
      <w:tblPr>
        <w:tblStyle w:val="7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4218"/>
        <w:gridCol w:w="939"/>
        <w:gridCol w:w="1407"/>
        <w:gridCol w:w="2125"/>
      </w:tblGrid>
      <w:tr>
        <w:trPr>
          <w:jc w:val="center"/>
          <w:trHeight w:val="322"/>
        </w:trPr>
        <w:tc>
          <w:tcPr>
            <w:tcW w:w="547" w:type="pct"/>
            <w:vAlign w:val="center"/>
            <w:textDirection w:val="lrTb"/>
            <w:noWrap w:val="false"/>
          </w:tcPr>
          <w:p>
            <w:pPr>
              <w:jc w:val="center"/>
              <w:rPr>
                <w:rFonts w:eastAsia="仿宋_GB2312"/>
                <w:sz w:val="24"/>
              </w:rPr>
            </w:pPr>
            <w:r>
              <w:rPr>
                <w:rFonts w:eastAsia="仿宋_GB2312"/>
                <w:sz w:val="24"/>
              </w:rPr>
              <w:t xml:space="preserve">序号</w:t>
            </w:r>
            <w:r/>
          </w:p>
        </w:tc>
        <w:tc>
          <w:tcPr>
            <w:tcW w:w="2162" w:type="pct"/>
            <w:vAlign w:val="center"/>
            <w:textDirection w:val="lrTb"/>
            <w:noWrap w:val="false"/>
          </w:tcPr>
          <w:p>
            <w:pPr>
              <w:jc w:val="center"/>
              <w:rPr>
                <w:rFonts w:eastAsia="仿宋_GB2312"/>
                <w:sz w:val="24"/>
              </w:rPr>
            </w:pPr>
            <w:r>
              <w:rPr>
                <w:rFonts w:eastAsia="仿宋_GB2312"/>
                <w:sz w:val="24"/>
              </w:rPr>
              <w:t xml:space="preserve">名称</w:t>
            </w:r>
            <w:r/>
          </w:p>
        </w:tc>
        <w:tc>
          <w:tcPr>
            <w:tcW w:w="481" w:type="pct"/>
            <w:vAlign w:val="center"/>
            <w:textDirection w:val="lrTb"/>
            <w:noWrap w:val="false"/>
          </w:tcPr>
          <w:p>
            <w:pPr>
              <w:jc w:val="center"/>
              <w:rPr>
                <w:rFonts w:eastAsia="仿宋_GB2312"/>
                <w:sz w:val="24"/>
              </w:rPr>
            </w:pPr>
            <w:r>
              <w:rPr>
                <w:rFonts w:eastAsia="仿宋_GB2312"/>
                <w:sz w:val="24"/>
              </w:rPr>
              <w:t xml:space="preserve">单位</w:t>
            </w:r>
            <w:r/>
          </w:p>
        </w:tc>
        <w:tc>
          <w:tcPr>
            <w:tcW w:w="721" w:type="pct"/>
            <w:vAlign w:val="center"/>
            <w:textDirection w:val="lrTb"/>
            <w:noWrap w:val="false"/>
          </w:tcPr>
          <w:p>
            <w:pPr>
              <w:jc w:val="center"/>
              <w:rPr>
                <w:rFonts w:eastAsia="仿宋_GB2312"/>
                <w:sz w:val="24"/>
              </w:rPr>
            </w:pPr>
            <w:r>
              <w:rPr>
                <w:rFonts w:eastAsia="仿宋_GB2312"/>
                <w:sz w:val="24"/>
              </w:rPr>
              <w:t xml:space="preserve">数量</w:t>
            </w:r>
            <w:r/>
          </w:p>
        </w:tc>
        <w:tc>
          <w:tcPr>
            <w:tcW w:w="1089" w:type="pct"/>
            <w:vAlign w:val="center"/>
            <w:textDirection w:val="lrTb"/>
            <w:noWrap w:val="false"/>
          </w:tcPr>
          <w:p>
            <w:pPr>
              <w:jc w:val="center"/>
              <w:rPr>
                <w:rFonts w:eastAsia="仿宋_GB2312"/>
                <w:sz w:val="24"/>
              </w:rPr>
            </w:pPr>
            <w:r>
              <w:rPr>
                <w:rFonts w:eastAsia="仿宋_GB2312"/>
                <w:sz w:val="24"/>
              </w:rPr>
              <w:t xml:space="preserve">备注</w:t>
            </w:r>
            <w:r/>
          </w:p>
        </w:tc>
      </w:tr>
      <w:tr>
        <w:trPr>
          <w:jc w:val="center"/>
          <w:trHeight w:val="147"/>
        </w:trPr>
        <w:tc>
          <w:tcPr>
            <w:gridSpan w:val="5"/>
            <w:tcW w:w="5000" w:type="pct"/>
            <w:vAlign w:val="center"/>
            <w:textDirection w:val="lrTb"/>
            <w:noWrap w:val="false"/>
          </w:tcPr>
          <w:p>
            <w:pPr>
              <w:jc w:val="center"/>
              <w:rPr>
                <w:rFonts w:eastAsia="仿宋_GB2312"/>
                <w:sz w:val="24"/>
              </w:rPr>
            </w:pPr>
            <w:r>
              <w:rPr>
                <w:rFonts w:eastAsia="仿宋_GB2312"/>
                <w:sz w:val="24"/>
              </w:rPr>
              <w:t xml:space="preserve">（一）堂子巷控制工程</w:t>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w:t>
            </w:r>
            <w:r/>
          </w:p>
        </w:tc>
        <w:tc>
          <w:tcPr>
            <w:tcW w:w="2162" w:type="pct"/>
            <w:vAlign w:val="center"/>
            <w:textDirection w:val="lrTb"/>
            <w:noWrap w:val="false"/>
          </w:tcPr>
          <w:p>
            <w:pPr>
              <w:jc w:val="center"/>
              <w:rPr>
                <w:rFonts w:eastAsia="仿宋_GB2312"/>
                <w:sz w:val="24"/>
              </w:rPr>
            </w:pPr>
            <w:r>
              <w:rPr>
                <w:rFonts w:eastAsia="仿宋_GB2312"/>
                <w:sz w:val="24"/>
              </w:rPr>
              <w:t xml:space="preserve">节制闸闸门养护</w:t>
            </w:r>
            <w:r/>
          </w:p>
        </w:tc>
        <w:tc>
          <w:tcPr>
            <w:tcW w:w="481" w:type="pct"/>
            <w:vAlign w:val="center"/>
            <w:textDirection w:val="lrTb"/>
            <w:noWrap w:val="false"/>
          </w:tcPr>
          <w:p>
            <w:pPr>
              <w:jc w:val="center"/>
              <w:rPr>
                <w:rFonts w:eastAsia="仿宋_GB2312"/>
                <w:sz w:val="24"/>
              </w:rPr>
            </w:pPr>
            <w:r>
              <w:rPr>
                <w:rFonts w:eastAsia="仿宋_GB2312"/>
                <w:sz w:val="24"/>
              </w:rPr>
              <w:t xml:space="preserve">扇</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1.1</w:t>
            </w:r>
            <w:r/>
          </w:p>
        </w:tc>
        <w:tc>
          <w:tcPr>
            <w:tcW w:w="2162" w:type="pct"/>
            <w:vAlign w:val="center"/>
            <w:textDirection w:val="lrTb"/>
            <w:noWrap w:val="false"/>
          </w:tcPr>
          <w:p>
            <w:pPr>
              <w:jc w:val="center"/>
              <w:rPr>
                <w:rFonts w:eastAsia="仿宋_GB2312"/>
                <w:sz w:val="24"/>
              </w:rPr>
            </w:pPr>
            <w:r>
              <w:rPr>
                <w:rFonts w:eastAsia="仿宋_GB2312"/>
                <w:sz w:val="24"/>
              </w:rPr>
              <w:t xml:space="preserve">阴极保护养护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1.2</w:t>
            </w:r>
            <w:r/>
          </w:p>
        </w:tc>
        <w:tc>
          <w:tcPr>
            <w:tcW w:w="2162" w:type="pct"/>
            <w:vAlign w:val="center"/>
            <w:textDirection w:val="lrTb"/>
            <w:noWrap w:val="false"/>
          </w:tcPr>
          <w:p>
            <w:pPr>
              <w:jc w:val="center"/>
              <w:rPr>
                <w:rFonts w:eastAsia="仿宋_GB2312"/>
                <w:sz w:val="24"/>
              </w:rPr>
            </w:pPr>
            <w:r>
              <w:rPr>
                <w:rFonts w:eastAsia="仿宋_GB2312"/>
                <w:sz w:val="24"/>
              </w:rPr>
              <w:t xml:space="preserve">液压系统养护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1.3</w:t>
            </w:r>
            <w:r/>
          </w:p>
        </w:tc>
        <w:tc>
          <w:tcPr>
            <w:tcW w:w="2162" w:type="pct"/>
            <w:vAlign w:val="center"/>
            <w:textDirection w:val="lrTb"/>
            <w:noWrap w:val="false"/>
          </w:tcPr>
          <w:p>
            <w:pPr>
              <w:jc w:val="center"/>
              <w:rPr>
                <w:rFonts w:eastAsia="仿宋_GB2312"/>
                <w:sz w:val="24"/>
              </w:rPr>
            </w:pPr>
            <w:r>
              <w:rPr>
                <w:rFonts w:eastAsia="仿宋_GB2312"/>
                <w:sz w:val="24"/>
              </w:rPr>
              <w:t xml:space="preserve">电控系统养护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1.4</w:t>
            </w:r>
            <w:r/>
          </w:p>
        </w:tc>
        <w:tc>
          <w:tcPr>
            <w:tcW w:w="2162" w:type="pct"/>
            <w:vAlign w:val="center"/>
            <w:textDirection w:val="lrTb"/>
            <w:noWrap w:val="false"/>
          </w:tcPr>
          <w:p>
            <w:pPr>
              <w:jc w:val="center"/>
              <w:rPr>
                <w:rFonts w:eastAsia="仿宋_GB2312"/>
                <w:sz w:val="24"/>
              </w:rPr>
            </w:pPr>
            <w:r>
              <w:rPr>
                <w:rFonts w:eastAsia="仿宋_GB2312"/>
                <w:sz w:val="24"/>
              </w:rPr>
              <w:t xml:space="preserve">冲淤系统养护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2</w:t>
            </w:r>
            <w:r/>
          </w:p>
        </w:tc>
        <w:tc>
          <w:tcPr>
            <w:tcW w:w="2162" w:type="pct"/>
            <w:vAlign w:val="center"/>
            <w:textDirection w:val="lrTb"/>
            <w:noWrap w:val="false"/>
          </w:tcPr>
          <w:p>
            <w:pPr>
              <w:jc w:val="center"/>
              <w:rPr>
                <w:rFonts w:eastAsia="仿宋_GB2312"/>
                <w:sz w:val="24"/>
              </w:rPr>
            </w:pPr>
            <w:r>
              <w:rPr>
                <w:rFonts w:eastAsia="仿宋_GB2312"/>
                <w:sz w:val="24"/>
              </w:rPr>
              <w:t xml:space="preserve">主机泵养护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6</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2.1</w:t>
            </w:r>
            <w:r/>
          </w:p>
        </w:tc>
        <w:tc>
          <w:tcPr>
            <w:tcW w:w="2162" w:type="pct"/>
            <w:vAlign w:val="center"/>
            <w:textDirection w:val="lrTb"/>
            <w:noWrap w:val="false"/>
          </w:tcPr>
          <w:p>
            <w:pPr>
              <w:jc w:val="center"/>
              <w:rPr>
                <w:rFonts w:eastAsia="仿宋_GB2312"/>
                <w:sz w:val="24"/>
              </w:rPr>
            </w:pPr>
            <w:r>
              <w:rPr>
                <w:rFonts w:eastAsia="仿宋_GB2312"/>
                <w:sz w:val="24"/>
              </w:rPr>
              <w:t xml:space="preserve">泵站液控系统及电控系统养护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2.2</w:t>
            </w:r>
            <w:r/>
          </w:p>
        </w:tc>
        <w:tc>
          <w:tcPr>
            <w:tcW w:w="2162" w:type="pct"/>
            <w:vAlign w:val="center"/>
            <w:textDirection w:val="lrTb"/>
            <w:noWrap w:val="false"/>
          </w:tcPr>
          <w:p>
            <w:pPr>
              <w:jc w:val="center"/>
              <w:rPr>
                <w:rFonts w:eastAsia="仿宋_GB2312"/>
                <w:sz w:val="24"/>
              </w:rPr>
            </w:pPr>
            <w:r>
              <w:rPr>
                <w:rFonts w:eastAsia="仿宋_GB2312"/>
                <w:sz w:val="24"/>
              </w:rPr>
              <w:t xml:space="preserve">拦污栅、闸门及液压启闭机养护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6</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3</w:t>
            </w:r>
            <w:r/>
          </w:p>
        </w:tc>
        <w:tc>
          <w:tcPr>
            <w:tcW w:w="2162" w:type="pct"/>
            <w:vAlign w:val="center"/>
            <w:textDirection w:val="lrTb"/>
            <w:noWrap w:val="false"/>
          </w:tcPr>
          <w:p>
            <w:pPr>
              <w:jc w:val="center"/>
              <w:rPr>
                <w:rFonts w:eastAsia="仿宋_GB2312"/>
                <w:sz w:val="24"/>
              </w:rPr>
            </w:pPr>
            <w:r>
              <w:rPr>
                <w:rFonts w:eastAsia="仿宋_GB2312"/>
                <w:sz w:val="24"/>
              </w:rPr>
              <w:t xml:space="preserve">高压柜养护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21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4</w:t>
            </w:r>
            <w:r/>
          </w:p>
        </w:tc>
        <w:tc>
          <w:tcPr>
            <w:tcW w:w="2162" w:type="pct"/>
            <w:vAlign w:val="center"/>
            <w:textDirection w:val="lrTb"/>
            <w:noWrap w:val="false"/>
          </w:tcPr>
          <w:p>
            <w:pPr>
              <w:jc w:val="center"/>
              <w:rPr>
                <w:rFonts w:eastAsia="仿宋_GB2312"/>
                <w:sz w:val="24"/>
              </w:rPr>
            </w:pPr>
            <w:r>
              <w:rPr>
                <w:rFonts w:eastAsia="仿宋_GB2312"/>
                <w:sz w:val="24"/>
              </w:rPr>
              <w:t xml:space="preserve">软启动柜养护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6</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5</w:t>
            </w:r>
            <w:r/>
          </w:p>
        </w:tc>
        <w:tc>
          <w:tcPr>
            <w:tcW w:w="2162" w:type="pct"/>
            <w:vAlign w:val="center"/>
            <w:textDirection w:val="lrTb"/>
            <w:noWrap w:val="false"/>
          </w:tcPr>
          <w:p>
            <w:pPr>
              <w:jc w:val="center"/>
              <w:rPr>
                <w:rFonts w:eastAsia="仿宋_GB2312"/>
                <w:sz w:val="24"/>
              </w:rPr>
            </w:pPr>
            <w:r>
              <w:rPr>
                <w:rFonts w:eastAsia="仿宋_GB2312"/>
                <w:sz w:val="24"/>
              </w:rPr>
              <w:t xml:space="preserve">低压柜养护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7</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6</w:t>
            </w:r>
            <w:r/>
          </w:p>
        </w:tc>
        <w:tc>
          <w:tcPr>
            <w:tcW w:w="2162" w:type="pct"/>
            <w:vAlign w:val="center"/>
            <w:textDirection w:val="lrTb"/>
            <w:noWrap w:val="false"/>
          </w:tcPr>
          <w:p>
            <w:pPr>
              <w:jc w:val="center"/>
              <w:rPr>
                <w:rFonts w:eastAsia="仿宋_GB2312"/>
                <w:sz w:val="24"/>
              </w:rPr>
            </w:pPr>
            <w:r>
              <w:rPr>
                <w:rFonts w:eastAsia="仿宋_GB2312"/>
                <w:sz w:val="24"/>
              </w:rPr>
              <w:t xml:space="preserve">控制柜养护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15</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7</w:t>
            </w:r>
            <w:r/>
          </w:p>
        </w:tc>
        <w:tc>
          <w:tcPr>
            <w:tcW w:w="2162" w:type="pct"/>
            <w:vAlign w:val="center"/>
            <w:textDirection w:val="lrTb"/>
            <w:noWrap w:val="false"/>
          </w:tcPr>
          <w:p>
            <w:pPr>
              <w:jc w:val="center"/>
              <w:rPr>
                <w:rFonts w:eastAsia="仿宋_GB2312"/>
                <w:sz w:val="24"/>
              </w:rPr>
            </w:pPr>
            <w:r>
              <w:rPr>
                <w:rFonts w:eastAsia="仿宋_GB2312"/>
                <w:sz w:val="24"/>
              </w:rPr>
              <w:t xml:space="preserve">变压器养护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8</w:t>
            </w:r>
            <w:r/>
          </w:p>
        </w:tc>
        <w:tc>
          <w:tcPr>
            <w:tcW w:w="2162" w:type="pct"/>
            <w:vAlign w:val="center"/>
            <w:textDirection w:val="lrTb"/>
            <w:noWrap w:val="false"/>
          </w:tcPr>
          <w:p>
            <w:pPr>
              <w:jc w:val="center"/>
              <w:rPr>
                <w:rFonts w:eastAsia="仿宋_GB2312"/>
                <w:sz w:val="24"/>
              </w:rPr>
            </w:pPr>
            <w:r>
              <w:rPr>
                <w:rFonts w:eastAsia="仿宋_GB2312"/>
                <w:sz w:val="24"/>
              </w:rPr>
              <w:t xml:space="preserve">渗透排水系统养护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4</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9</w:t>
            </w:r>
            <w:r/>
          </w:p>
        </w:tc>
        <w:tc>
          <w:tcPr>
            <w:tcW w:w="2162" w:type="pct"/>
            <w:vAlign w:val="center"/>
            <w:textDirection w:val="lrTb"/>
            <w:noWrap w:val="false"/>
          </w:tcPr>
          <w:p>
            <w:pPr>
              <w:jc w:val="center"/>
              <w:rPr>
                <w:rFonts w:eastAsia="仿宋_GB2312"/>
                <w:sz w:val="24"/>
              </w:rPr>
            </w:pPr>
            <w:r>
              <w:rPr>
                <w:rFonts w:eastAsia="仿宋_GB2312"/>
                <w:sz w:val="24"/>
              </w:rPr>
              <w:t xml:space="preserve">检修排水系统养护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10</w:t>
            </w:r>
            <w:r/>
          </w:p>
        </w:tc>
        <w:tc>
          <w:tcPr>
            <w:tcW w:w="2162" w:type="pct"/>
            <w:vAlign w:val="center"/>
            <w:textDirection w:val="lrTb"/>
            <w:noWrap w:val="false"/>
          </w:tcPr>
          <w:p>
            <w:pPr>
              <w:jc w:val="center"/>
              <w:rPr>
                <w:rFonts w:eastAsia="仿宋_GB2312"/>
                <w:sz w:val="24"/>
              </w:rPr>
            </w:pPr>
            <w:r>
              <w:rPr>
                <w:rFonts w:eastAsia="仿宋_GB2312"/>
                <w:sz w:val="24"/>
              </w:rPr>
              <w:t xml:space="preserve">清污机养护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4</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11</w:t>
            </w:r>
            <w:r/>
          </w:p>
        </w:tc>
        <w:tc>
          <w:tcPr>
            <w:tcW w:w="2162" w:type="pct"/>
            <w:vAlign w:val="center"/>
            <w:textDirection w:val="lrTb"/>
            <w:noWrap w:val="false"/>
          </w:tcPr>
          <w:p>
            <w:pPr>
              <w:jc w:val="center"/>
              <w:rPr>
                <w:rFonts w:eastAsia="仿宋_GB2312"/>
                <w:sz w:val="24"/>
              </w:rPr>
            </w:pPr>
            <w:r>
              <w:rPr>
                <w:rFonts w:eastAsia="仿宋_GB2312"/>
                <w:sz w:val="24"/>
              </w:rPr>
              <w:t xml:space="preserve">电动葫芦养护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4</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12</w:t>
            </w:r>
            <w:r/>
          </w:p>
        </w:tc>
        <w:tc>
          <w:tcPr>
            <w:tcW w:w="2162" w:type="pct"/>
            <w:vAlign w:val="center"/>
            <w:textDirection w:val="lrTb"/>
            <w:noWrap w:val="false"/>
          </w:tcPr>
          <w:p>
            <w:pPr>
              <w:jc w:val="center"/>
              <w:rPr>
                <w:rFonts w:eastAsia="仿宋_GB2312"/>
                <w:sz w:val="24"/>
              </w:rPr>
            </w:pPr>
            <w:r>
              <w:rPr>
                <w:rFonts w:eastAsia="仿宋_GB2312"/>
                <w:sz w:val="24"/>
              </w:rPr>
              <w:t xml:space="preserve">风机养护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19</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13</w:t>
            </w:r>
            <w:r/>
          </w:p>
        </w:tc>
        <w:tc>
          <w:tcPr>
            <w:tcW w:w="2162" w:type="pct"/>
            <w:vAlign w:val="center"/>
            <w:textDirection w:val="lrTb"/>
            <w:noWrap w:val="false"/>
          </w:tcPr>
          <w:p>
            <w:pPr>
              <w:jc w:val="center"/>
              <w:rPr>
                <w:rFonts w:eastAsia="仿宋_GB2312"/>
                <w:sz w:val="24"/>
              </w:rPr>
            </w:pPr>
            <w:r>
              <w:rPr>
                <w:rFonts w:eastAsia="仿宋_GB2312"/>
                <w:sz w:val="24"/>
              </w:rPr>
              <w:t xml:space="preserve">空压机养护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14</w:t>
            </w:r>
            <w:r/>
          </w:p>
        </w:tc>
        <w:tc>
          <w:tcPr>
            <w:tcW w:w="2162" w:type="pct"/>
            <w:vAlign w:val="center"/>
            <w:textDirection w:val="lrTb"/>
            <w:noWrap w:val="false"/>
          </w:tcPr>
          <w:p>
            <w:pPr>
              <w:jc w:val="center"/>
              <w:rPr>
                <w:rFonts w:eastAsia="仿宋_GB2312"/>
                <w:sz w:val="24"/>
              </w:rPr>
            </w:pPr>
            <w:r>
              <w:rPr>
                <w:rFonts w:eastAsia="仿宋_GB2312"/>
                <w:sz w:val="24"/>
              </w:rPr>
              <w:t xml:space="preserve">柴油发电机养护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15</w:t>
            </w:r>
            <w:r/>
          </w:p>
        </w:tc>
        <w:tc>
          <w:tcPr>
            <w:tcW w:w="2162" w:type="pct"/>
            <w:vAlign w:val="center"/>
            <w:textDirection w:val="lrTb"/>
            <w:noWrap w:val="false"/>
          </w:tcPr>
          <w:p>
            <w:pPr>
              <w:jc w:val="center"/>
              <w:rPr>
                <w:rFonts w:eastAsia="仿宋_GB2312"/>
                <w:sz w:val="24"/>
              </w:rPr>
            </w:pPr>
            <w:r>
              <w:rPr>
                <w:rFonts w:eastAsia="仿宋_GB2312"/>
                <w:sz w:val="24"/>
              </w:rPr>
              <w:t xml:space="preserve">电缆沟、井、桥架、管线</w:t>
            </w:r>
            <w:r/>
          </w:p>
          <w:p>
            <w:pPr>
              <w:jc w:val="center"/>
              <w:rPr>
                <w:rFonts w:eastAsia="仿宋_GB2312"/>
                <w:sz w:val="24"/>
              </w:rPr>
            </w:pPr>
            <w:r>
              <w:rPr>
                <w:rFonts w:eastAsia="仿宋_GB2312"/>
                <w:sz w:val="24"/>
              </w:rPr>
              <w:t xml:space="preserve">检查养护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16</w:t>
            </w:r>
            <w:r/>
          </w:p>
        </w:tc>
        <w:tc>
          <w:tcPr>
            <w:tcW w:w="2162" w:type="pct"/>
            <w:vAlign w:val="center"/>
            <w:textDirection w:val="lrTb"/>
            <w:noWrap w:val="false"/>
          </w:tcPr>
          <w:p>
            <w:pPr>
              <w:jc w:val="center"/>
              <w:rPr>
                <w:rFonts w:eastAsia="仿宋_GB2312"/>
                <w:sz w:val="24"/>
              </w:rPr>
            </w:pPr>
            <w:r>
              <w:rPr>
                <w:rFonts w:eastAsia="仿宋_GB2312"/>
                <w:sz w:val="24"/>
              </w:rPr>
              <w:t xml:space="preserve">行车及其控制系统养护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17</w:t>
            </w:r>
            <w:r/>
          </w:p>
        </w:tc>
        <w:tc>
          <w:tcPr>
            <w:tcW w:w="2162" w:type="pct"/>
            <w:vAlign w:val="center"/>
            <w:textDirection w:val="lrTb"/>
            <w:noWrap w:val="false"/>
          </w:tcPr>
          <w:p>
            <w:pPr>
              <w:jc w:val="center"/>
              <w:rPr>
                <w:rFonts w:eastAsia="仿宋_GB2312"/>
                <w:sz w:val="24"/>
              </w:rPr>
            </w:pPr>
            <w:r>
              <w:rPr>
                <w:rFonts w:eastAsia="仿宋_GB2312"/>
                <w:sz w:val="24"/>
              </w:rPr>
              <w:t xml:space="preserve">航道声光警示系统及警示标牌维护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18</w:t>
            </w:r>
            <w:r/>
          </w:p>
        </w:tc>
        <w:tc>
          <w:tcPr>
            <w:tcW w:w="2162" w:type="pct"/>
            <w:vAlign w:val="center"/>
            <w:textDirection w:val="lrTb"/>
            <w:noWrap w:val="false"/>
          </w:tcPr>
          <w:p>
            <w:pPr>
              <w:jc w:val="center"/>
              <w:rPr>
                <w:rFonts w:eastAsia="仿宋_GB2312"/>
                <w:sz w:val="24"/>
              </w:rPr>
            </w:pPr>
            <w:r>
              <w:rPr>
                <w:rFonts w:eastAsia="仿宋_GB2312"/>
                <w:sz w:val="24"/>
              </w:rPr>
              <w:t xml:space="preserve">日常照明维护</w:t>
            </w:r>
            <w:r/>
          </w:p>
        </w:tc>
        <w:tc>
          <w:tcPr>
            <w:tcW w:w="481" w:type="pct"/>
            <w:vAlign w:val="center"/>
            <w:textDirection w:val="lrTb"/>
            <w:noWrap w:val="false"/>
          </w:tcPr>
          <w:p>
            <w:pPr>
              <w:jc w:val="center"/>
              <w:rPr>
                <w:rFonts w:eastAsia="仿宋_GB2312"/>
                <w:sz w:val="24"/>
              </w:rPr>
            </w:pPr>
            <w:r>
              <w:rPr>
                <w:rFonts w:eastAsia="仿宋_GB2312"/>
                <w:sz w:val="24"/>
              </w:rPr>
              <w:t xml:space="preserve">项</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t xml:space="preserve">厂房、办公区域</w:t>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19</w:t>
            </w:r>
            <w:r/>
          </w:p>
        </w:tc>
        <w:tc>
          <w:tcPr>
            <w:tcW w:w="2162" w:type="pct"/>
            <w:vAlign w:val="center"/>
            <w:textDirection w:val="lrTb"/>
            <w:noWrap w:val="false"/>
          </w:tcPr>
          <w:p>
            <w:pPr>
              <w:jc w:val="center"/>
              <w:rPr>
                <w:rFonts w:eastAsia="仿宋_GB2312"/>
                <w:sz w:val="24"/>
              </w:rPr>
            </w:pPr>
            <w:r>
              <w:rPr>
                <w:rFonts w:eastAsia="仿宋_GB2312"/>
                <w:sz w:val="24"/>
              </w:rPr>
              <w:t xml:space="preserve">消防、安防等其他设备养护</w:t>
            </w:r>
            <w:r/>
          </w:p>
        </w:tc>
        <w:tc>
          <w:tcPr>
            <w:tcW w:w="481" w:type="pct"/>
            <w:vAlign w:val="center"/>
            <w:textDirection w:val="lrTb"/>
            <w:noWrap w:val="false"/>
          </w:tcPr>
          <w:p>
            <w:pPr>
              <w:jc w:val="center"/>
              <w:rPr>
                <w:rFonts w:eastAsia="仿宋_GB2312"/>
                <w:sz w:val="24"/>
              </w:rPr>
            </w:pPr>
            <w:r>
              <w:rPr>
                <w:rFonts w:eastAsia="仿宋_GB2312"/>
                <w:sz w:val="24"/>
              </w:rPr>
              <w:t xml:space="preserve">项</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20</w:t>
            </w:r>
            <w:r/>
          </w:p>
        </w:tc>
        <w:tc>
          <w:tcPr>
            <w:tcW w:w="2162" w:type="pct"/>
            <w:vAlign w:val="center"/>
            <w:textDirection w:val="lrTb"/>
            <w:noWrap w:val="false"/>
          </w:tcPr>
          <w:p>
            <w:pPr>
              <w:jc w:val="center"/>
              <w:rPr>
                <w:rFonts w:eastAsia="仿宋_GB2312"/>
                <w:sz w:val="24"/>
              </w:rPr>
            </w:pPr>
            <w:r>
              <w:rPr>
                <w:rFonts w:eastAsia="仿宋_GB2312"/>
                <w:sz w:val="24"/>
              </w:rPr>
              <w:t xml:space="preserve">上下游清污养护</w:t>
            </w:r>
            <w:r/>
          </w:p>
        </w:tc>
        <w:tc>
          <w:tcPr>
            <w:tcW w:w="481" w:type="pct"/>
            <w:vAlign w:val="center"/>
            <w:textDirection w:val="lrTb"/>
            <w:noWrap w:val="false"/>
          </w:tcPr>
          <w:p>
            <w:pPr>
              <w:jc w:val="center"/>
              <w:rPr>
                <w:rFonts w:eastAsia="仿宋_GB2312"/>
                <w:sz w:val="24"/>
              </w:rPr>
            </w:pPr>
            <w:r>
              <w:rPr>
                <w:rFonts w:eastAsia="仿宋_GB2312"/>
                <w:sz w:val="24"/>
              </w:rPr>
              <w:t xml:space="preserve">项</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t xml:space="preserve">水面及岸坡</w:t>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21</w:t>
            </w:r>
            <w:r/>
          </w:p>
        </w:tc>
        <w:tc>
          <w:tcPr>
            <w:tcW w:w="2162" w:type="pct"/>
            <w:vAlign w:val="center"/>
            <w:textDirection w:val="lrTb"/>
            <w:noWrap w:val="false"/>
          </w:tcPr>
          <w:p>
            <w:pPr>
              <w:jc w:val="center"/>
              <w:rPr>
                <w:rFonts w:eastAsia="仿宋_GB2312"/>
                <w:sz w:val="24"/>
              </w:rPr>
            </w:pPr>
            <w:r>
              <w:rPr>
                <w:rFonts w:eastAsia="仿宋_GB2312"/>
                <w:sz w:val="24"/>
              </w:rPr>
              <w:t xml:space="preserve">防雷设施</w:t>
            </w:r>
            <w:r/>
          </w:p>
        </w:tc>
        <w:tc>
          <w:tcPr>
            <w:tcW w:w="481" w:type="pct"/>
            <w:vAlign w:val="center"/>
            <w:textDirection w:val="lrTb"/>
            <w:noWrap w:val="false"/>
          </w:tcPr>
          <w:p>
            <w:pPr>
              <w:jc w:val="center"/>
              <w:rPr>
                <w:rFonts w:eastAsia="仿宋_GB2312"/>
                <w:sz w:val="24"/>
              </w:rPr>
            </w:pPr>
            <w:r>
              <w:rPr>
                <w:rFonts w:eastAsia="仿宋_GB2312"/>
                <w:sz w:val="24"/>
              </w:rPr>
              <w:t xml:space="preserve">项</w:t>
            </w:r>
            <w:r/>
          </w:p>
        </w:tc>
        <w:tc>
          <w:tcPr>
            <w:tcW w:w="721" w:type="pct"/>
            <w:vAlign w:val="center"/>
            <w:textDirection w:val="lrTb"/>
            <w:noWrap w:val="false"/>
          </w:tcPr>
          <w:p>
            <w:pPr>
              <w:jc w:val="center"/>
              <w:rPr>
                <w:rFonts w:eastAsia="仿宋_GB2312"/>
                <w:sz w:val="24"/>
              </w:rPr>
            </w:pPr>
            <w:r>
              <w:rPr>
                <w:rFonts w:eastAsia="仿宋_GB2312"/>
                <w:sz w:val="24"/>
              </w:rPr>
            </w:r>
            <w:r/>
          </w:p>
        </w:tc>
        <w:tc>
          <w:tcPr>
            <w:tcW w:w="1089" w:type="pct"/>
            <w:vAlign w:val="center"/>
            <w:textDirection w:val="lrTb"/>
            <w:noWrap w:val="false"/>
          </w:tcPr>
          <w:p>
            <w:pPr>
              <w:jc w:val="center"/>
              <w:rPr>
                <w:rFonts w:eastAsia="仿宋_GB2312"/>
                <w:sz w:val="24"/>
              </w:rPr>
            </w:pPr>
            <w:r>
              <w:rPr>
                <w:rFonts w:eastAsia="仿宋_GB2312"/>
                <w:sz w:val="24"/>
              </w:rPr>
              <w:t xml:space="preserve">设备及房屋</w:t>
            </w:r>
            <w:r/>
          </w:p>
        </w:tc>
      </w:tr>
      <w:tr>
        <w:trPr>
          <w:jc w:val="center"/>
          <w:trHeight w:val="147"/>
        </w:trPr>
        <w:tc>
          <w:tcPr>
            <w:gridSpan w:val="5"/>
            <w:tcW w:w="5000" w:type="pct"/>
            <w:vAlign w:val="center"/>
            <w:textDirection w:val="lrTb"/>
            <w:noWrap w:val="false"/>
          </w:tcPr>
          <w:p>
            <w:pPr>
              <w:jc w:val="center"/>
              <w:rPr>
                <w:rFonts w:eastAsia="仿宋_GB2312"/>
                <w:sz w:val="24"/>
              </w:rPr>
            </w:pPr>
            <w:r>
              <w:rPr>
                <w:rFonts w:eastAsia="仿宋_GB2312"/>
                <w:sz w:val="24"/>
              </w:rPr>
              <w:t xml:space="preserve">（二）北门桥控制工程</w:t>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w:t>
            </w:r>
            <w:r/>
          </w:p>
        </w:tc>
        <w:tc>
          <w:tcPr>
            <w:tcW w:w="2162" w:type="pct"/>
            <w:vAlign w:val="center"/>
            <w:textDirection w:val="lrTb"/>
            <w:noWrap w:val="false"/>
          </w:tcPr>
          <w:p>
            <w:pPr>
              <w:jc w:val="center"/>
              <w:rPr>
                <w:rFonts w:eastAsia="仿宋_GB2312"/>
                <w:sz w:val="24"/>
              </w:rPr>
            </w:pPr>
            <w:r>
              <w:rPr>
                <w:rFonts w:eastAsia="仿宋_GB2312"/>
                <w:sz w:val="24"/>
              </w:rPr>
              <w:t xml:space="preserve">节制闸闸门养护</w:t>
            </w:r>
            <w:r/>
          </w:p>
        </w:tc>
        <w:tc>
          <w:tcPr>
            <w:tcW w:w="481" w:type="pct"/>
            <w:vAlign w:val="center"/>
            <w:textDirection w:val="lrTb"/>
            <w:noWrap w:val="false"/>
          </w:tcPr>
          <w:p>
            <w:pPr>
              <w:jc w:val="center"/>
              <w:rPr>
                <w:rFonts w:eastAsia="仿宋_GB2312"/>
                <w:sz w:val="24"/>
              </w:rPr>
            </w:pPr>
            <w:r>
              <w:rPr>
                <w:rFonts w:eastAsia="仿宋_GB2312"/>
                <w:sz w:val="24"/>
              </w:rPr>
              <w:t xml:space="preserve">扇</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1.1</w:t>
            </w:r>
            <w:r/>
          </w:p>
        </w:tc>
        <w:tc>
          <w:tcPr>
            <w:tcW w:w="2162" w:type="pct"/>
            <w:vAlign w:val="center"/>
            <w:textDirection w:val="lrTb"/>
            <w:noWrap w:val="false"/>
          </w:tcPr>
          <w:p>
            <w:pPr>
              <w:jc w:val="center"/>
              <w:rPr>
                <w:rFonts w:eastAsia="仿宋_GB2312"/>
                <w:sz w:val="24"/>
              </w:rPr>
            </w:pPr>
            <w:r>
              <w:rPr>
                <w:rFonts w:eastAsia="仿宋_GB2312"/>
                <w:sz w:val="24"/>
              </w:rPr>
              <w:t xml:space="preserve">阴极保护养护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1.2</w:t>
            </w:r>
            <w:r/>
          </w:p>
        </w:tc>
        <w:tc>
          <w:tcPr>
            <w:tcW w:w="2162" w:type="pct"/>
            <w:vAlign w:val="center"/>
            <w:textDirection w:val="lrTb"/>
            <w:noWrap w:val="false"/>
          </w:tcPr>
          <w:p>
            <w:pPr>
              <w:jc w:val="center"/>
              <w:rPr>
                <w:rFonts w:eastAsia="仿宋_GB2312"/>
                <w:sz w:val="24"/>
              </w:rPr>
            </w:pPr>
            <w:r>
              <w:rPr>
                <w:rFonts w:eastAsia="仿宋_GB2312"/>
                <w:sz w:val="24"/>
              </w:rPr>
              <w:t xml:space="preserve">液压系统养护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1.3</w:t>
            </w:r>
            <w:r/>
          </w:p>
        </w:tc>
        <w:tc>
          <w:tcPr>
            <w:tcW w:w="2162" w:type="pct"/>
            <w:vAlign w:val="center"/>
            <w:textDirection w:val="lrTb"/>
            <w:noWrap w:val="false"/>
          </w:tcPr>
          <w:p>
            <w:pPr>
              <w:jc w:val="center"/>
              <w:rPr>
                <w:rFonts w:eastAsia="仿宋_GB2312"/>
                <w:sz w:val="24"/>
              </w:rPr>
            </w:pPr>
            <w:r>
              <w:rPr>
                <w:rFonts w:eastAsia="仿宋_GB2312"/>
                <w:sz w:val="24"/>
              </w:rPr>
              <w:t xml:space="preserve">电控系统养护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1.4</w:t>
            </w:r>
            <w:r/>
          </w:p>
        </w:tc>
        <w:tc>
          <w:tcPr>
            <w:tcW w:w="2162" w:type="pct"/>
            <w:vAlign w:val="center"/>
            <w:textDirection w:val="lrTb"/>
            <w:noWrap w:val="false"/>
          </w:tcPr>
          <w:p>
            <w:pPr>
              <w:jc w:val="center"/>
              <w:rPr>
                <w:rFonts w:eastAsia="仿宋_GB2312"/>
                <w:sz w:val="24"/>
              </w:rPr>
            </w:pPr>
            <w:r>
              <w:rPr>
                <w:rFonts w:eastAsia="仿宋_GB2312"/>
                <w:sz w:val="24"/>
              </w:rPr>
              <w:t xml:space="preserve">冲淤系统养护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2</w:t>
            </w:r>
            <w:r/>
          </w:p>
        </w:tc>
        <w:tc>
          <w:tcPr>
            <w:tcW w:w="2162" w:type="pct"/>
            <w:vAlign w:val="center"/>
            <w:textDirection w:val="lrTb"/>
            <w:noWrap w:val="false"/>
          </w:tcPr>
          <w:p>
            <w:pPr>
              <w:jc w:val="center"/>
              <w:rPr>
                <w:rFonts w:eastAsia="仿宋_GB2312"/>
                <w:sz w:val="24"/>
              </w:rPr>
            </w:pPr>
            <w:r>
              <w:rPr>
                <w:rFonts w:eastAsia="仿宋_GB2312"/>
                <w:sz w:val="24"/>
              </w:rPr>
              <w:t xml:space="preserve">高压柜养护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3</w:t>
            </w:r>
            <w:r/>
          </w:p>
        </w:tc>
        <w:tc>
          <w:tcPr>
            <w:tcW w:w="2162" w:type="pct"/>
            <w:vAlign w:val="center"/>
            <w:textDirection w:val="lrTb"/>
            <w:noWrap w:val="false"/>
          </w:tcPr>
          <w:p>
            <w:pPr>
              <w:jc w:val="center"/>
              <w:rPr>
                <w:rFonts w:eastAsia="仿宋_GB2312"/>
                <w:sz w:val="24"/>
              </w:rPr>
            </w:pPr>
            <w:r>
              <w:rPr>
                <w:rFonts w:eastAsia="仿宋_GB2312"/>
                <w:sz w:val="24"/>
              </w:rPr>
              <w:t xml:space="preserve">低压柜养护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4</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4</w:t>
            </w:r>
            <w:r/>
          </w:p>
        </w:tc>
        <w:tc>
          <w:tcPr>
            <w:tcW w:w="2162" w:type="pct"/>
            <w:vAlign w:val="center"/>
            <w:textDirection w:val="lrTb"/>
            <w:noWrap w:val="false"/>
          </w:tcPr>
          <w:p>
            <w:pPr>
              <w:jc w:val="center"/>
              <w:rPr>
                <w:rFonts w:eastAsia="仿宋_GB2312"/>
                <w:sz w:val="24"/>
              </w:rPr>
            </w:pPr>
            <w:r>
              <w:rPr>
                <w:rFonts w:eastAsia="仿宋_GB2312"/>
                <w:sz w:val="24"/>
              </w:rPr>
              <w:t xml:space="preserve">控制柜养护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6</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5</w:t>
            </w:r>
            <w:r/>
          </w:p>
        </w:tc>
        <w:tc>
          <w:tcPr>
            <w:tcW w:w="2162" w:type="pct"/>
            <w:vAlign w:val="center"/>
            <w:textDirection w:val="lrTb"/>
            <w:noWrap w:val="false"/>
          </w:tcPr>
          <w:p>
            <w:pPr>
              <w:jc w:val="center"/>
              <w:rPr>
                <w:rFonts w:eastAsia="仿宋_GB2312"/>
                <w:sz w:val="24"/>
              </w:rPr>
            </w:pPr>
            <w:r>
              <w:rPr>
                <w:rFonts w:eastAsia="仿宋_GB2312"/>
                <w:sz w:val="24"/>
              </w:rPr>
              <w:t xml:space="preserve">柴油发电机养护</w:t>
            </w:r>
            <w:r/>
          </w:p>
        </w:tc>
        <w:tc>
          <w:tcPr>
            <w:tcW w:w="481" w:type="pct"/>
            <w:vAlign w:val="center"/>
            <w:textDirection w:val="lrTb"/>
            <w:noWrap w:val="false"/>
          </w:tcPr>
          <w:p>
            <w:pPr>
              <w:jc w:val="center"/>
              <w:rPr>
                <w:rFonts w:eastAsia="仿宋_GB2312"/>
                <w:sz w:val="24"/>
              </w:rPr>
            </w:pPr>
            <w:r>
              <w:rPr>
                <w:rFonts w:eastAsia="仿宋_GB2312"/>
                <w:sz w:val="24"/>
              </w:rPr>
              <w:t xml:space="preserve">台</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6</w:t>
            </w:r>
            <w:r/>
          </w:p>
        </w:tc>
        <w:tc>
          <w:tcPr>
            <w:tcW w:w="2162" w:type="pct"/>
            <w:vAlign w:val="center"/>
            <w:textDirection w:val="lrTb"/>
            <w:noWrap w:val="false"/>
          </w:tcPr>
          <w:p>
            <w:pPr>
              <w:jc w:val="center"/>
              <w:rPr>
                <w:rFonts w:eastAsia="仿宋_GB2312"/>
                <w:sz w:val="24"/>
              </w:rPr>
            </w:pPr>
            <w:r>
              <w:rPr>
                <w:rFonts w:eastAsia="仿宋_GB2312"/>
                <w:sz w:val="24"/>
              </w:rPr>
              <w:t xml:space="preserve">消防、安防等其他设备养护</w:t>
            </w:r>
            <w:r/>
          </w:p>
        </w:tc>
        <w:tc>
          <w:tcPr>
            <w:tcW w:w="481" w:type="pct"/>
            <w:vAlign w:val="center"/>
            <w:textDirection w:val="lrTb"/>
            <w:noWrap w:val="false"/>
          </w:tcPr>
          <w:p>
            <w:pPr>
              <w:jc w:val="center"/>
              <w:rPr>
                <w:rFonts w:eastAsia="仿宋_GB2312"/>
                <w:sz w:val="24"/>
              </w:rPr>
            </w:pPr>
            <w:r>
              <w:rPr>
                <w:rFonts w:eastAsia="仿宋_GB2312"/>
                <w:sz w:val="24"/>
              </w:rPr>
              <w:t xml:space="preserve">项</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655"/>
        </w:trPr>
        <w:tc>
          <w:tcPr>
            <w:tcW w:w="547" w:type="pct"/>
            <w:vAlign w:val="center"/>
            <w:textDirection w:val="lrTb"/>
            <w:noWrap w:val="false"/>
          </w:tcPr>
          <w:p>
            <w:pPr>
              <w:jc w:val="center"/>
              <w:rPr>
                <w:rFonts w:eastAsia="仿宋_GB2312"/>
                <w:sz w:val="24"/>
              </w:rPr>
            </w:pPr>
            <w:r>
              <w:rPr>
                <w:rFonts w:eastAsia="仿宋_GB2312"/>
                <w:sz w:val="24"/>
              </w:rPr>
              <w:t xml:space="preserve">7</w:t>
            </w:r>
            <w:r/>
          </w:p>
        </w:tc>
        <w:tc>
          <w:tcPr>
            <w:tcW w:w="2162" w:type="pct"/>
            <w:vAlign w:val="center"/>
            <w:textDirection w:val="lrTb"/>
            <w:noWrap w:val="false"/>
          </w:tcPr>
          <w:p>
            <w:pPr>
              <w:jc w:val="center"/>
              <w:rPr>
                <w:rFonts w:eastAsia="仿宋_GB2312"/>
                <w:sz w:val="24"/>
              </w:rPr>
            </w:pPr>
            <w:r>
              <w:rPr>
                <w:rFonts w:eastAsia="仿宋_GB2312"/>
                <w:sz w:val="24"/>
              </w:rPr>
              <w:t xml:space="preserve">航道声光警示系统及警示标牌维护</w:t>
            </w:r>
            <w:r/>
          </w:p>
        </w:tc>
        <w:tc>
          <w:tcPr>
            <w:tcW w:w="481" w:type="pct"/>
            <w:vAlign w:val="center"/>
            <w:textDirection w:val="lrTb"/>
            <w:noWrap w:val="false"/>
          </w:tcPr>
          <w:p>
            <w:pPr>
              <w:jc w:val="center"/>
              <w:rPr>
                <w:rFonts w:eastAsia="仿宋_GB2312"/>
                <w:sz w:val="24"/>
              </w:rPr>
            </w:pPr>
            <w:r>
              <w:rPr>
                <w:rFonts w:eastAsia="仿宋_GB2312"/>
                <w:sz w:val="24"/>
              </w:rPr>
              <w:t xml:space="preserve">套</w:t>
            </w:r>
            <w:r/>
          </w:p>
        </w:tc>
        <w:tc>
          <w:tcPr>
            <w:tcW w:w="721" w:type="pct"/>
            <w:vAlign w:val="center"/>
            <w:textDirection w:val="lrTb"/>
            <w:noWrap w:val="false"/>
          </w:tcPr>
          <w:p>
            <w:pPr>
              <w:jc w:val="center"/>
              <w:rPr>
                <w:rFonts w:eastAsia="仿宋_GB2312"/>
                <w:sz w:val="24"/>
              </w:rPr>
            </w:pPr>
            <w:r>
              <w:rPr>
                <w:rFonts w:eastAsia="仿宋_GB2312"/>
                <w:sz w:val="24"/>
              </w:rPr>
              <w:t xml:space="preserve">1</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8</w:t>
            </w:r>
            <w:r/>
          </w:p>
        </w:tc>
        <w:tc>
          <w:tcPr>
            <w:tcW w:w="2162" w:type="pct"/>
            <w:vAlign w:val="center"/>
            <w:textDirection w:val="lrTb"/>
            <w:noWrap w:val="false"/>
          </w:tcPr>
          <w:p>
            <w:pPr>
              <w:jc w:val="center"/>
              <w:rPr>
                <w:rFonts w:eastAsia="仿宋_GB2312"/>
                <w:sz w:val="24"/>
              </w:rPr>
            </w:pPr>
            <w:r>
              <w:rPr>
                <w:rFonts w:eastAsia="仿宋_GB2312"/>
                <w:sz w:val="24"/>
              </w:rPr>
              <w:t xml:space="preserve">日常照明系统维护</w:t>
            </w:r>
            <w:r/>
          </w:p>
        </w:tc>
        <w:tc>
          <w:tcPr>
            <w:tcW w:w="481" w:type="pct"/>
            <w:vAlign w:val="center"/>
            <w:textDirection w:val="lrTb"/>
            <w:noWrap w:val="false"/>
          </w:tcPr>
          <w:p>
            <w:pPr>
              <w:jc w:val="center"/>
              <w:rPr>
                <w:rFonts w:eastAsia="仿宋_GB2312"/>
                <w:sz w:val="24"/>
              </w:rPr>
            </w:pPr>
            <w:r>
              <w:rPr>
                <w:rFonts w:eastAsia="仿宋_GB2312"/>
                <w:sz w:val="24"/>
              </w:rPr>
              <w:t xml:space="preserve">项</w:t>
            </w:r>
            <w:r/>
          </w:p>
        </w:tc>
        <w:tc>
          <w:tcPr>
            <w:tcW w:w="721" w:type="pct"/>
            <w:vAlign w:val="center"/>
            <w:textDirection w:val="lrTb"/>
            <w:noWrap w:val="false"/>
          </w:tcPr>
          <w:p>
            <w:pPr>
              <w:jc w:val="center"/>
              <w:rPr>
                <w:rFonts w:eastAsia="仿宋_GB2312"/>
                <w:sz w:val="24"/>
              </w:rPr>
            </w:pPr>
            <w:r>
              <w:rPr>
                <w:rFonts w:eastAsia="仿宋_GB2312"/>
                <w:sz w:val="24"/>
              </w:rPr>
              <w:t xml:space="preserve">2</w:t>
            </w:r>
            <w:r/>
          </w:p>
        </w:tc>
        <w:tc>
          <w:tcPr>
            <w:tcW w:w="1089" w:type="pct"/>
            <w:vAlign w:val="center"/>
            <w:textDirection w:val="lrTb"/>
            <w:noWrap w:val="false"/>
          </w:tcPr>
          <w:p>
            <w:pPr>
              <w:jc w:val="center"/>
              <w:rPr>
                <w:rFonts w:eastAsia="仿宋_GB2312"/>
                <w:sz w:val="24"/>
              </w:rPr>
            </w:pPr>
            <w:r>
              <w:rPr>
                <w:rFonts w:eastAsia="仿宋_GB2312"/>
                <w:sz w:val="24"/>
              </w:rPr>
            </w:r>
            <w:r/>
          </w:p>
        </w:tc>
      </w:tr>
      <w:tr>
        <w:trPr>
          <w:jc w:val="center"/>
          <w:trHeight w:val="147"/>
        </w:trPr>
        <w:tc>
          <w:tcPr>
            <w:tcW w:w="547" w:type="pct"/>
            <w:vAlign w:val="center"/>
            <w:textDirection w:val="lrTb"/>
            <w:noWrap w:val="false"/>
          </w:tcPr>
          <w:p>
            <w:pPr>
              <w:jc w:val="center"/>
              <w:rPr>
                <w:rFonts w:eastAsia="仿宋_GB2312"/>
                <w:sz w:val="24"/>
              </w:rPr>
            </w:pPr>
            <w:r>
              <w:rPr>
                <w:rFonts w:eastAsia="仿宋_GB2312"/>
                <w:sz w:val="24"/>
              </w:rPr>
              <w:t xml:space="preserve">9</w:t>
            </w:r>
            <w:r/>
          </w:p>
        </w:tc>
        <w:tc>
          <w:tcPr>
            <w:tcW w:w="2162" w:type="pct"/>
            <w:vAlign w:val="center"/>
            <w:textDirection w:val="lrTb"/>
            <w:noWrap w:val="false"/>
          </w:tcPr>
          <w:p>
            <w:pPr>
              <w:jc w:val="center"/>
              <w:rPr>
                <w:rFonts w:eastAsia="仿宋_GB2312"/>
                <w:sz w:val="24"/>
              </w:rPr>
            </w:pPr>
            <w:r>
              <w:rPr>
                <w:rFonts w:eastAsia="仿宋_GB2312"/>
                <w:sz w:val="24"/>
              </w:rPr>
              <w:t xml:space="preserve">防雷设施</w:t>
            </w:r>
            <w:r/>
          </w:p>
        </w:tc>
        <w:tc>
          <w:tcPr>
            <w:tcW w:w="481" w:type="pct"/>
            <w:vAlign w:val="center"/>
            <w:textDirection w:val="lrTb"/>
            <w:noWrap w:val="false"/>
          </w:tcPr>
          <w:p>
            <w:pPr>
              <w:jc w:val="center"/>
              <w:rPr>
                <w:rFonts w:eastAsia="仿宋_GB2312"/>
                <w:sz w:val="24"/>
              </w:rPr>
            </w:pPr>
            <w:r>
              <w:rPr>
                <w:rFonts w:eastAsia="仿宋_GB2312"/>
                <w:sz w:val="24"/>
              </w:rPr>
              <w:t xml:space="preserve">项</w:t>
            </w:r>
            <w:r/>
          </w:p>
        </w:tc>
        <w:tc>
          <w:tcPr>
            <w:tcW w:w="721" w:type="pct"/>
            <w:vAlign w:val="center"/>
            <w:textDirection w:val="lrTb"/>
            <w:noWrap w:val="false"/>
          </w:tcPr>
          <w:p>
            <w:pPr>
              <w:jc w:val="center"/>
              <w:rPr>
                <w:rFonts w:eastAsia="仿宋_GB2312"/>
                <w:sz w:val="24"/>
              </w:rPr>
            </w:pPr>
            <w:r>
              <w:rPr>
                <w:rFonts w:eastAsia="仿宋_GB2312"/>
                <w:sz w:val="24"/>
              </w:rPr>
            </w:r>
            <w:r/>
          </w:p>
        </w:tc>
        <w:tc>
          <w:tcPr>
            <w:tcW w:w="1089" w:type="pct"/>
            <w:vAlign w:val="center"/>
            <w:textDirection w:val="lrTb"/>
            <w:noWrap w:val="false"/>
          </w:tcPr>
          <w:p>
            <w:pPr>
              <w:jc w:val="center"/>
              <w:rPr>
                <w:rFonts w:eastAsia="仿宋_GB2312"/>
                <w:sz w:val="24"/>
              </w:rPr>
            </w:pPr>
            <w:r>
              <w:rPr>
                <w:rFonts w:eastAsia="仿宋_GB2312"/>
                <w:sz w:val="24"/>
              </w:rPr>
              <w:t xml:space="preserve">设备及房屋</w:t>
            </w:r>
            <w:r/>
          </w:p>
        </w:tc>
      </w:tr>
    </w:tbl>
    <w:p>
      <w:pPr>
        <w:ind w:firstLine="560"/>
        <w:spacing w:line="520" w:lineRule="exact"/>
        <w:rPr>
          <w:rFonts w:eastAsia="仿宋_GB2312"/>
          <w:sz w:val="28"/>
        </w:rPr>
      </w:pPr>
      <w:r>
        <w:rPr>
          <w:rFonts w:eastAsia="仿宋_GB2312"/>
          <w:sz w:val="28"/>
        </w:rPr>
        <w:t xml:space="preserve">（三）安全管理及环境卫生要求</w:t>
      </w:r>
      <w:r/>
    </w:p>
    <w:p>
      <w:pPr>
        <w:ind w:firstLine="560"/>
        <w:spacing w:line="520" w:lineRule="exact"/>
        <w:rPr>
          <w:rFonts w:eastAsia="仿宋_GB2312"/>
          <w:sz w:val="28"/>
        </w:rPr>
      </w:pPr>
      <w:r>
        <w:rPr>
          <w:rFonts w:eastAsia="仿宋_GB2312"/>
          <w:sz w:val="28"/>
        </w:rPr>
        <w:t xml:space="preserve">  1、贯彻执行《中华人民共和国水法》、《中华人民共和国防洪法》、《江苏省水利工程管理条例》、《江苏省河道管理实施办法》等有关法律、法规及上级主管部门的指示，做好依法管理，维护工程权益，保障工程安全。</w:t>
      </w:r>
      <w:r/>
    </w:p>
    <w:p>
      <w:pPr>
        <w:ind w:firstLine="560"/>
        <w:spacing w:line="520" w:lineRule="exact"/>
        <w:rPr>
          <w:rFonts w:eastAsia="仿宋_GB2312"/>
          <w:sz w:val="28"/>
        </w:rPr>
      </w:pPr>
      <w:r>
        <w:rPr>
          <w:rFonts w:eastAsia="仿宋_GB2312"/>
          <w:sz w:val="28"/>
        </w:rPr>
        <w:t xml:space="preserve">2.建立并执行工程运行、设备养护、防火、安全用电等方面的安全管理制度，全面落实安全生产责任制，完善日常检查、隐患治理、事故防范、职工培训、安全投入等制度和工作程序。</w:t>
      </w:r>
      <w:r/>
    </w:p>
    <w:p>
      <w:pPr>
        <w:ind w:firstLine="560"/>
        <w:spacing w:line="520" w:lineRule="exact"/>
        <w:rPr>
          <w:rFonts w:eastAsia="仿宋_GB2312"/>
          <w:sz w:val="28"/>
        </w:rPr>
      </w:pPr>
      <w:r>
        <w:rPr>
          <w:rFonts w:eastAsia="仿宋_GB2312"/>
          <w:sz w:val="28"/>
        </w:rPr>
        <w:t xml:space="preserve">3.制定事故应急预案，并定期进行预案演练。</w:t>
      </w:r>
      <w:r/>
    </w:p>
    <w:p>
      <w:pPr>
        <w:ind w:firstLine="560"/>
        <w:spacing w:line="520" w:lineRule="exact"/>
        <w:rPr>
          <w:rFonts w:eastAsia="仿宋_GB2312"/>
          <w:sz w:val="28"/>
        </w:rPr>
      </w:pPr>
      <w:r>
        <w:rPr>
          <w:rFonts w:eastAsia="仿宋_GB2312"/>
          <w:sz w:val="28"/>
        </w:rPr>
        <w:t xml:space="preserve">4.严格执行动火、带电作业工作票制度。</w:t>
      </w:r>
      <w:r/>
    </w:p>
    <w:p>
      <w:pPr>
        <w:ind w:firstLine="560"/>
        <w:spacing w:line="520" w:lineRule="exact"/>
        <w:rPr>
          <w:rFonts w:eastAsia="仿宋_GB2312"/>
          <w:sz w:val="28"/>
        </w:rPr>
      </w:pPr>
      <w:r>
        <w:rPr>
          <w:rFonts w:eastAsia="仿宋_GB2312"/>
          <w:sz w:val="28"/>
        </w:rPr>
        <w:t xml:space="preserve">（四）资料收集与档案管理要求</w:t>
      </w:r>
      <w:r/>
    </w:p>
    <w:p>
      <w:pPr>
        <w:ind w:firstLine="560"/>
        <w:spacing w:line="520" w:lineRule="exact"/>
        <w:rPr>
          <w:rFonts w:eastAsia="仿宋_GB2312"/>
          <w:sz w:val="28"/>
        </w:rPr>
      </w:pPr>
      <w:r>
        <w:rPr>
          <w:rFonts w:eastAsia="仿宋_GB2312"/>
          <w:sz w:val="28"/>
        </w:rPr>
        <w:t xml:space="preserve">1.设备运行、维护、保养资料都应及时整理成册，交付采购人存档。有必要保存的原始数据记录整理后装订成册，交付采购人存档。</w:t>
      </w:r>
      <w:r/>
    </w:p>
    <w:p>
      <w:pPr>
        <w:ind w:firstLine="560"/>
        <w:spacing w:line="520" w:lineRule="exact"/>
        <w:rPr>
          <w:rFonts w:eastAsia="仿宋_GB2312"/>
          <w:sz w:val="28"/>
        </w:rPr>
      </w:pPr>
      <w:r>
        <w:rPr>
          <w:rFonts w:eastAsia="仿宋_GB2312"/>
          <w:sz w:val="28"/>
        </w:rPr>
        <w:t xml:space="preserve">2.设备技术资料为设备的随机资料、检修资料、试验资料。设备检修记录、试验记录等应在工作结束后认真整理，编写总结，及时归档。运行值班记录、交接班记录等必须在下月月初整理，装订成册。年底将本年度所有的试验记录、运行记录、检修记录等装订成册，保证资料的完整性、正确性、规范性。</w:t>
      </w:r>
      <w:r/>
    </w:p>
    <w:p>
      <w:pPr>
        <w:ind w:firstLine="560"/>
        <w:spacing w:line="520" w:lineRule="exact"/>
        <w:rPr>
          <w:rFonts w:eastAsia="仿宋_GB2312"/>
          <w:sz w:val="28"/>
        </w:rPr>
      </w:pPr>
      <w:r>
        <w:rPr>
          <w:rFonts w:hint="eastAsia" w:ascii="仿宋" w:hAnsi="仿宋" w:eastAsia="仿宋"/>
          <w:sz w:val="28"/>
          <w:szCs w:val="28"/>
        </w:rPr>
        <w:t xml:space="preserve">★</w:t>
      </w:r>
      <w:bookmarkStart w:id="37" w:name="_GoBack"/>
      <w:r/>
      <w:bookmarkEnd w:id="37"/>
      <w:r>
        <w:rPr>
          <w:rFonts w:eastAsia="仿宋_GB2312"/>
          <w:b/>
          <w:bCs/>
          <w:sz w:val="28"/>
        </w:rPr>
        <w:t xml:space="preserve">四、运行管理人员配置要求</w:t>
      </w:r>
      <w:r/>
    </w:p>
    <w:p>
      <w:pPr>
        <w:ind w:firstLine="560"/>
        <w:spacing w:line="520" w:lineRule="exact"/>
        <w:rPr>
          <w:rFonts w:eastAsia="仿宋_GB2312"/>
          <w:sz w:val="28"/>
          <w:highlight w:val="none"/>
        </w:rPr>
      </w:pPr>
      <w:r>
        <w:rPr>
          <w:rFonts w:eastAsia="仿宋_GB2312"/>
          <w:sz w:val="28"/>
        </w:rPr>
        <w:t xml:space="preserve">供应商参加磋商时，</w:t>
      </w:r>
      <w:r>
        <w:rPr>
          <w:rFonts w:hint="eastAsia" w:eastAsia="仿宋_GB2312"/>
          <w:sz w:val="28"/>
        </w:rPr>
        <w:t xml:space="preserve">必须</w:t>
      </w:r>
      <w:r>
        <w:rPr>
          <w:rFonts w:eastAsia="仿宋_GB2312"/>
          <w:sz w:val="28"/>
        </w:rPr>
        <w:t xml:space="preserve">提供承诺针对本项目拟派的团队人员不低于9名，其中项目负责人1名，</w:t>
      </w:r>
      <w:r>
        <w:rPr>
          <w:rFonts w:eastAsia="仿宋_GB2312"/>
          <w:sz w:val="28"/>
          <w:highlight w:val="none"/>
        </w:rPr>
        <w:t xml:space="preserve">技术负责人1名、技术人员至少1人，运行人员不低于6人。如遇突发情况，需足额配备人员，保证运行管理工作顺利开展。</w:t>
      </w:r>
      <w:r>
        <w:rPr>
          <w:rFonts w:hint="eastAsia" w:eastAsia="仿宋_GB2312"/>
          <w:b/>
          <w:bCs/>
          <w:sz w:val="28"/>
          <w:highlight w:val="none"/>
        </w:rPr>
        <w:t xml:space="preserve">（格式自拟，加盖供应商电子签章，未提供的作无效响应处理）</w:t>
      </w:r>
      <w:r/>
    </w:p>
    <w:p>
      <w:pPr>
        <w:ind w:firstLine="562"/>
        <w:spacing w:line="520" w:lineRule="exact"/>
        <w:rPr>
          <w:rFonts w:eastAsia="仿宋_GB2312"/>
          <w:bCs/>
          <w:iCs/>
          <w:sz w:val="28"/>
          <w:szCs w:val="28"/>
        </w:rPr>
      </w:pPr>
      <w:r>
        <w:rPr>
          <w:rFonts w:eastAsia="仿宋_GB2312"/>
          <w:b/>
          <w:iCs/>
          <w:sz w:val="28"/>
          <w:szCs w:val="28"/>
        </w:rPr>
        <w:t xml:space="preserve">五、绿化保洁服务要求</w:t>
      </w:r>
      <w:r/>
    </w:p>
    <w:p>
      <w:pPr>
        <w:ind w:firstLine="560"/>
        <w:spacing w:line="520" w:lineRule="exact"/>
        <w:rPr>
          <w:rFonts w:eastAsia="仿宋_GB2312"/>
          <w:bCs/>
          <w:iCs/>
          <w:sz w:val="28"/>
          <w:szCs w:val="28"/>
        </w:rPr>
      </w:pPr>
      <w:r>
        <w:rPr>
          <w:rFonts w:eastAsia="仿宋_GB2312"/>
          <w:bCs/>
          <w:iCs/>
          <w:sz w:val="28"/>
          <w:szCs w:val="28"/>
        </w:rPr>
        <w:t xml:space="preserve">1、堂子巷工程绿化养护</w:t>
      </w:r>
      <w:r/>
    </w:p>
    <w:p>
      <w:pPr>
        <w:ind w:firstLine="560"/>
        <w:spacing w:line="520" w:lineRule="exact"/>
        <w:rPr>
          <w:rFonts w:eastAsia="仿宋_GB2312"/>
          <w:bCs/>
          <w:iCs/>
          <w:sz w:val="28"/>
          <w:szCs w:val="28"/>
        </w:rPr>
      </w:pPr>
      <w:r>
        <w:rPr>
          <w:rFonts w:eastAsia="仿宋_GB2312"/>
          <w:bCs/>
          <w:iCs/>
          <w:sz w:val="28"/>
          <w:szCs w:val="28"/>
        </w:rPr>
        <w:t xml:space="preserve">（1）绿化养护范围</w:t>
      </w:r>
      <w:r/>
    </w:p>
    <w:p>
      <w:pPr>
        <w:ind w:firstLine="560"/>
        <w:spacing w:line="520" w:lineRule="exact"/>
        <w:rPr>
          <w:rFonts w:eastAsia="仿宋_GB2312"/>
          <w:bCs/>
          <w:iCs/>
          <w:sz w:val="28"/>
          <w:szCs w:val="28"/>
        </w:rPr>
      </w:pPr>
      <w:r>
        <w:rPr>
          <w:rFonts w:eastAsia="仿宋_GB2312"/>
          <w:sz w:val="28"/>
          <w:szCs w:val="28"/>
        </w:rPr>
        <w:t xml:space="preserve">里运河堂子巷控制工程管理区域内约2.5万平方米绿化养护及绿化范围内保洁等。</w:t>
      </w:r>
      <w:r/>
    </w:p>
    <w:p>
      <w:pPr>
        <w:ind w:firstLine="560"/>
        <w:spacing w:line="520" w:lineRule="exact"/>
        <w:rPr>
          <w:rFonts w:eastAsia="仿宋_GB2312"/>
          <w:bCs/>
          <w:iCs/>
          <w:sz w:val="28"/>
          <w:szCs w:val="28"/>
        </w:rPr>
      </w:pPr>
      <w:r>
        <w:rPr>
          <w:rFonts w:eastAsia="仿宋_GB2312"/>
          <w:bCs/>
          <w:iCs/>
          <w:sz w:val="28"/>
          <w:szCs w:val="28"/>
        </w:rPr>
        <w:t xml:space="preserve">（2）绿化养护标准</w:t>
      </w:r>
      <w:r/>
    </w:p>
    <w:p>
      <w:pPr>
        <w:ind w:firstLine="560"/>
        <w:spacing w:line="540" w:lineRule="exact"/>
        <w:rPr>
          <w:rFonts w:eastAsia="仿宋_GB2312"/>
          <w:sz w:val="28"/>
          <w:szCs w:val="28"/>
        </w:rPr>
      </w:pPr>
      <w:r>
        <w:rPr>
          <w:rFonts w:eastAsia="仿宋_GB2312"/>
          <w:sz w:val="28"/>
          <w:szCs w:val="28"/>
        </w:rPr>
        <w:t xml:space="preserve">绿化养护质量标准:二级，相关树木、草地养护标准、技术要求按住房城乡建设部发布的行业标准《园林绿化养护标准》（CJJ/T287-2018 ）实施。</w:t>
      </w:r>
      <w:r/>
    </w:p>
    <w:p>
      <w:pPr>
        <w:ind w:firstLine="560"/>
        <w:spacing w:line="520" w:lineRule="exact"/>
        <w:rPr>
          <w:rFonts w:eastAsia="仿宋_GB2312"/>
          <w:bCs/>
          <w:iCs/>
          <w:sz w:val="28"/>
          <w:szCs w:val="28"/>
        </w:rPr>
      </w:pPr>
      <w:r>
        <w:rPr>
          <w:rFonts w:eastAsia="仿宋_GB2312"/>
          <w:bCs/>
          <w:iCs/>
          <w:sz w:val="28"/>
          <w:szCs w:val="28"/>
        </w:rPr>
        <w:t xml:space="preserve">（3）绿化养护清单</w:t>
      </w:r>
      <w:r/>
    </w:p>
    <w:p>
      <w:pPr>
        <w:ind w:firstLine="560"/>
        <w:spacing w:line="540" w:lineRule="exact"/>
        <w:shd w:val="clear" w:color="auto" w:fill="ffffff"/>
        <w:widowControl/>
        <w:rPr>
          <w:rFonts w:eastAsia="仿宋_GB2312"/>
          <w:sz w:val="28"/>
          <w:szCs w:val="28"/>
        </w:rPr>
      </w:pPr>
      <w:r>
        <w:rPr>
          <w:rFonts w:eastAsia="仿宋_GB2312"/>
          <w:sz w:val="28"/>
          <w:szCs w:val="28"/>
        </w:rPr>
        <w:t xml:space="preserve">绿化乔木工程：高杆女贞约134棵、榉树约28棵、栾树约21棵、朴树约7棵、无患子约30棵、香樟约165棵、垂柳约161棵、枫香约9棵、广玉兰约59棵、国槐约20棵、嫁接银杏约3棵；碧桃约7棵、垂丝海棠约30棵、大桂花约3棵、红枫约186棵、鸡爪槭约62棵、石榴约8棵、金桂约102棵、腊梅约24棵、梅花约14棵、木槿约7棵、四季桂约134棵、雪松约17棵、造型罗汉松约2棵、造型五针松约5棵、紫荆约152棵、紫薇约93棵、紫叶李约12棵、合欢约14棵、花桃约78棵、三角枫约41棵、水杉约3棵、美国红枫8棵。</w:t>
      </w:r>
      <w:r/>
    </w:p>
    <w:p>
      <w:pPr>
        <w:ind w:firstLine="560"/>
        <w:spacing w:line="540" w:lineRule="exact"/>
        <w:shd w:val="clear" w:color="auto" w:fill="ffffff"/>
        <w:widowControl/>
        <w:rPr>
          <w:rFonts w:eastAsia="仿宋_GB2312"/>
          <w:sz w:val="28"/>
          <w:szCs w:val="28"/>
        </w:rPr>
      </w:pPr>
      <w:r>
        <w:rPr>
          <w:rFonts w:eastAsia="仿宋_GB2312"/>
          <w:sz w:val="28"/>
          <w:szCs w:val="28"/>
        </w:rPr>
        <w:t xml:space="preserve">绿化灌木工程：法国冬青约216m²、刚竹约45m²、龟甲冬青球约18棵、海桐球约248棵、红叶石楠球约347棵、金叶女贞球约70棵、龙柏球约5棵、小叶黄杨球约18棵、构骨球约18棵、箬竹约456棵、龟甲冬青约340m</w:t>
      </w:r>
      <w:r>
        <w:rPr>
          <w:rFonts w:eastAsia="仿宋_GB2312"/>
          <w:sz w:val="28"/>
          <w:szCs w:val="28"/>
          <w:vertAlign w:val="superscript"/>
        </w:rPr>
        <w:t xml:space="preserve">2</w:t>
      </w:r>
      <w:r>
        <w:rPr>
          <w:rFonts w:eastAsia="仿宋_GB2312"/>
          <w:sz w:val="28"/>
          <w:szCs w:val="28"/>
        </w:rPr>
        <w:t xml:space="preserve">，红花继木约210m</w:t>
      </w:r>
      <w:r>
        <w:rPr>
          <w:rFonts w:eastAsia="仿宋_GB2312"/>
          <w:sz w:val="28"/>
          <w:szCs w:val="28"/>
          <w:vertAlign w:val="superscript"/>
        </w:rPr>
        <w:t xml:space="preserve">2</w:t>
      </w:r>
      <w:r>
        <w:rPr>
          <w:rFonts w:eastAsia="仿宋_GB2312"/>
          <w:sz w:val="28"/>
          <w:szCs w:val="28"/>
        </w:rPr>
        <w:t xml:space="preserve">、萱草约60m</w:t>
      </w:r>
      <w:r>
        <w:rPr>
          <w:rFonts w:eastAsia="仿宋_GB2312"/>
          <w:sz w:val="28"/>
          <w:szCs w:val="28"/>
          <w:vertAlign w:val="superscript"/>
        </w:rPr>
        <w:t xml:space="preserve">2</w:t>
      </w:r>
      <w:r>
        <w:rPr>
          <w:rFonts w:eastAsia="仿宋_GB2312"/>
          <w:sz w:val="28"/>
          <w:szCs w:val="28"/>
        </w:rPr>
        <w:t xml:space="preserve">、云南黄馨约148m</w:t>
      </w:r>
      <w:r>
        <w:rPr>
          <w:rFonts w:eastAsia="仿宋_GB2312"/>
          <w:sz w:val="28"/>
          <w:szCs w:val="28"/>
          <w:vertAlign w:val="superscript"/>
        </w:rPr>
        <w:t xml:space="preserve">2</w:t>
      </w:r>
      <w:r>
        <w:rPr>
          <w:rFonts w:eastAsia="仿宋_GB2312"/>
          <w:sz w:val="28"/>
          <w:szCs w:val="28"/>
        </w:rPr>
        <w:t xml:space="preserve">、棣棠约364m</w:t>
      </w:r>
      <w:r>
        <w:rPr>
          <w:rFonts w:eastAsia="仿宋_GB2312"/>
          <w:sz w:val="28"/>
          <w:szCs w:val="28"/>
          <w:vertAlign w:val="superscript"/>
        </w:rPr>
        <w:t xml:space="preserve">2</w:t>
      </w:r>
      <w:r>
        <w:rPr>
          <w:rFonts w:eastAsia="仿宋_GB2312"/>
          <w:sz w:val="28"/>
          <w:szCs w:val="28"/>
        </w:rPr>
        <w:t xml:space="preserve">，金边黄杨约240m</w:t>
      </w:r>
      <w:r>
        <w:rPr>
          <w:rFonts w:eastAsia="仿宋_GB2312"/>
          <w:sz w:val="28"/>
          <w:szCs w:val="28"/>
          <w:vertAlign w:val="superscript"/>
        </w:rPr>
        <w:t xml:space="preserve">2</w:t>
      </w:r>
      <w:r>
        <w:rPr>
          <w:rFonts w:eastAsia="仿宋_GB2312"/>
          <w:sz w:val="28"/>
          <w:szCs w:val="28"/>
        </w:rPr>
        <w:t xml:space="preserve">、大叶黄杨约55m</w:t>
      </w:r>
      <w:r>
        <w:rPr>
          <w:rFonts w:eastAsia="仿宋_GB2312"/>
          <w:sz w:val="28"/>
          <w:szCs w:val="28"/>
          <w:vertAlign w:val="superscript"/>
        </w:rPr>
        <w:t xml:space="preserve">2</w:t>
      </w:r>
      <w:r>
        <w:rPr>
          <w:rFonts w:eastAsia="仿宋_GB2312"/>
          <w:sz w:val="28"/>
          <w:szCs w:val="28"/>
        </w:rPr>
        <w:t xml:space="preserve">、红叶石楠约32m</w:t>
      </w:r>
      <w:r>
        <w:rPr>
          <w:rFonts w:eastAsia="仿宋_GB2312"/>
          <w:sz w:val="28"/>
          <w:szCs w:val="28"/>
          <w:vertAlign w:val="superscript"/>
        </w:rPr>
        <w:t xml:space="preserve">2</w:t>
      </w:r>
      <w:r>
        <w:rPr>
          <w:rFonts w:eastAsia="仿宋_GB2312"/>
          <w:sz w:val="28"/>
          <w:szCs w:val="28"/>
        </w:rPr>
        <w:t xml:space="preserve">、夹竹桃约112m</w:t>
      </w:r>
      <w:r>
        <w:rPr>
          <w:rFonts w:eastAsia="仿宋_GB2312"/>
          <w:sz w:val="28"/>
          <w:szCs w:val="28"/>
          <w:vertAlign w:val="superscript"/>
        </w:rPr>
        <w:t xml:space="preserve">2</w:t>
      </w:r>
      <w:r>
        <w:rPr>
          <w:rFonts w:eastAsia="仿宋_GB2312"/>
          <w:sz w:val="28"/>
          <w:szCs w:val="28"/>
        </w:rPr>
        <w:t xml:space="preserve">。</w:t>
      </w:r>
      <w:r/>
    </w:p>
    <w:p>
      <w:pPr>
        <w:ind w:firstLine="560"/>
        <w:spacing w:line="520" w:lineRule="exact"/>
        <w:rPr>
          <w:rFonts w:eastAsia="仿宋_GB2312"/>
          <w:bCs/>
          <w:iCs/>
          <w:sz w:val="28"/>
          <w:szCs w:val="28"/>
        </w:rPr>
      </w:pPr>
      <w:r>
        <w:rPr>
          <w:rFonts w:eastAsia="仿宋_GB2312"/>
          <w:sz w:val="28"/>
          <w:szCs w:val="28"/>
        </w:rPr>
        <w:t xml:space="preserve">绿化花卉地被工程：迎春约240m²、云南黄馨约120.5m²、红花继木约816.5m²、瓜子黄杨约648.3m²、金边黄杨约656.91m²、小叶女贞约349.2m²、地被月季约528m²、麦冬约657.4m²、地被月季约284m</w:t>
      </w:r>
      <w:r>
        <w:rPr>
          <w:rFonts w:eastAsia="仿宋_GB2312"/>
          <w:sz w:val="28"/>
          <w:szCs w:val="28"/>
          <w:vertAlign w:val="superscript"/>
        </w:rPr>
        <w:t xml:space="preserve">2</w:t>
      </w:r>
      <w:r>
        <w:rPr>
          <w:rFonts w:eastAsia="仿宋_GB2312"/>
          <w:sz w:val="28"/>
          <w:szCs w:val="28"/>
        </w:rPr>
        <w:t xml:space="preserve">、二月兰约259m</w:t>
      </w:r>
      <w:r>
        <w:rPr>
          <w:rFonts w:eastAsia="仿宋_GB2312"/>
          <w:sz w:val="28"/>
          <w:szCs w:val="28"/>
          <w:vertAlign w:val="superscript"/>
        </w:rPr>
        <w:t xml:space="preserve">2</w:t>
      </w:r>
      <w:r>
        <w:rPr>
          <w:rFonts w:eastAsia="仿宋_GB2312"/>
          <w:sz w:val="28"/>
          <w:szCs w:val="28"/>
        </w:rPr>
        <w:t xml:space="preserve">，满铺草坪（百慕大、黑麦草混合）约8000m</w:t>
      </w:r>
      <w:r>
        <w:rPr>
          <w:rFonts w:eastAsia="仿宋_GB2312"/>
          <w:sz w:val="28"/>
          <w:szCs w:val="28"/>
          <w:vertAlign w:val="superscript"/>
        </w:rPr>
        <w:t xml:space="preserve">2</w:t>
      </w:r>
      <w:r>
        <w:rPr>
          <w:rFonts w:eastAsia="仿宋_GB2312"/>
          <w:sz w:val="28"/>
          <w:szCs w:val="28"/>
        </w:rPr>
        <w:t xml:space="preserve">。</w:t>
      </w:r>
      <w:r/>
    </w:p>
    <w:p>
      <w:pPr>
        <w:ind w:firstLine="560"/>
        <w:spacing w:line="520" w:lineRule="exact"/>
        <w:rPr>
          <w:rFonts w:eastAsia="仿宋_GB2312"/>
          <w:bCs/>
          <w:iCs/>
          <w:sz w:val="28"/>
          <w:szCs w:val="28"/>
        </w:rPr>
      </w:pPr>
      <w:r>
        <w:rPr>
          <w:rFonts w:eastAsia="仿宋_GB2312"/>
          <w:bCs/>
          <w:iCs/>
          <w:sz w:val="28"/>
          <w:szCs w:val="28"/>
        </w:rPr>
        <w:t xml:space="preserve">2、堂子巷工程保洁服务要求</w:t>
      </w:r>
      <w:r/>
    </w:p>
    <w:p>
      <w:pPr>
        <w:ind w:firstLine="560"/>
        <w:spacing w:line="520" w:lineRule="exact"/>
        <w:rPr>
          <w:rFonts w:eastAsia="仿宋_GB2312"/>
          <w:bCs/>
          <w:iCs/>
          <w:sz w:val="28"/>
          <w:szCs w:val="28"/>
        </w:rPr>
      </w:pPr>
      <w:r>
        <w:rPr>
          <w:rFonts w:eastAsia="仿宋_GB2312"/>
          <w:bCs/>
          <w:iCs/>
          <w:sz w:val="28"/>
          <w:szCs w:val="28"/>
        </w:rPr>
        <w:t xml:space="preserve">1）保洁范围</w:t>
      </w:r>
      <w:r/>
    </w:p>
    <w:p>
      <w:pPr>
        <w:ind w:firstLine="560"/>
        <w:spacing w:line="540" w:lineRule="exact"/>
        <w:rPr>
          <w:rFonts w:eastAsia="仿宋_GB2312"/>
          <w:b/>
          <w:sz w:val="28"/>
          <w:szCs w:val="28"/>
        </w:rPr>
      </w:pPr>
      <w:r>
        <w:rPr>
          <w:rFonts w:eastAsia="仿宋_GB2312"/>
          <w:sz w:val="28"/>
          <w:szCs w:val="28"/>
        </w:rPr>
        <w:t xml:space="preserve">里运河防洪控制工程管理所区域范围，含</w:t>
      </w:r>
      <w:r>
        <w:rPr>
          <w:rFonts w:eastAsia="仿宋_GB2312"/>
          <w:sz w:val="28"/>
        </w:rPr>
        <w:t xml:space="preserve">办公楼、宿舍楼、控制楼、桥亭、主桥面、泵站内部及管理所门口道路、两侧泵站门口墙面、管理所院内保洁等，面积约7000平方米，窗户399扇。</w:t>
      </w:r>
      <w:r/>
    </w:p>
    <w:p>
      <w:pPr>
        <w:ind w:firstLine="560"/>
        <w:spacing w:line="520" w:lineRule="exact"/>
        <w:rPr>
          <w:rFonts w:eastAsia="仿宋_GB2312"/>
          <w:bCs/>
          <w:iCs/>
          <w:sz w:val="28"/>
          <w:szCs w:val="28"/>
        </w:rPr>
      </w:pPr>
      <w:r>
        <w:rPr>
          <w:rFonts w:eastAsia="仿宋_GB2312"/>
          <w:bCs/>
          <w:iCs/>
          <w:sz w:val="28"/>
          <w:szCs w:val="28"/>
        </w:rPr>
        <w:t xml:space="preserve">2）保洁要求</w:t>
      </w:r>
      <w:r/>
    </w:p>
    <w:p>
      <w:pPr>
        <w:pStyle w:val="741"/>
        <w:ind w:firstLine="560"/>
        <w:spacing w:line="540" w:lineRule="exact"/>
        <w:rPr>
          <w:rFonts w:ascii="Times New Roman" w:hAnsi="Times New Roman" w:eastAsia="仿宋_GB2312"/>
          <w:sz w:val="28"/>
          <w:szCs w:val="28"/>
        </w:rPr>
      </w:pPr>
      <w:r>
        <w:rPr>
          <w:rFonts w:ascii="Times New Roman" w:hAnsi="Times New Roman" w:eastAsia="仿宋_GB2312"/>
          <w:sz w:val="28"/>
          <w:szCs w:val="28"/>
        </w:rPr>
        <w:t xml:space="preserve">（1）办公楼、宿舍楼、控制楼、主桥面、管理所院内及管理所门口道路等处每日打扫，泵站内部、桥亭、泵站正门墙面定期打扫，做到地面、门窗、扶手无灰尘，楼层通道和楼梯台阶洁净、无乱贴乱划，无擅自占用现象，梯间顶面无蜘蛛网、灰尘，地脚线干净无灰尘，地面干净无杂物、污迹，各梯间墙面、天花板每月除尘1次。</w:t>
      </w:r>
      <w:r/>
    </w:p>
    <w:p>
      <w:pPr>
        <w:pStyle w:val="741"/>
        <w:ind w:firstLine="560"/>
        <w:spacing w:line="540" w:lineRule="exact"/>
        <w:rPr>
          <w:rFonts w:ascii="Times New Roman" w:hAnsi="Times New Roman" w:eastAsia="仿宋_GB2312"/>
          <w:sz w:val="28"/>
          <w:szCs w:val="28"/>
        </w:rPr>
      </w:pPr>
      <w:r>
        <w:rPr>
          <w:rFonts w:ascii="Times New Roman" w:hAnsi="Times New Roman" w:eastAsia="仿宋_GB2312"/>
          <w:sz w:val="28"/>
          <w:szCs w:val="28"/>
        </w:rPr>
        <w:t xml:space="preserve">（2）要做好卫生分区内的所有杂物、植物及生活垃圾的清扫处理等工作。每日及时做好每天生活垃圾的转运工作，确保垃圾日产日出。</w:t>
      </w:r>
      <w:r/>
    </w:p>
    <w:p>
      <w:pPr>
        <w:pStyle w:val="741"/>
        <w:ind w:firstLine="560"/>
        <w:spacing w:line="540" w:lineRule="exact"/>
        <w:rPr>
          <w:rFonts w:ascii="Times New Roman" w:hAnsi="Times New Roman" w:eastAsia="仿宋_GB2312"/>
          <w:sz w:val="28"/>
          <w:szCs w:val="28"/>
        </w:rPr>
      </w:pPr>
      <w:r>
        <w:rPr>
          <w:rFonts w:ascii="Times New Roman" w:hAnsi="Times New Roman" w:eastAsia="仿宋_GB2312"/>
          <w:sz w:val="28"/>
          <w:szCs w:val="28"/>
        </w:rPr>
        <w:t xml:space="preserve">（3）做好厕所的打扫保洁工作，要求室内无异味，大、小便池每周必须清洗干净，无污迹，便池洁净无污渍，地面洁净。</w:t>
      </w:r>
      <w:r/>
    </w:p>
    <w:p>
      <w:pPr>
        <w:pStyle w:val="741"/>
        <w:ind w:firstLine="560"/>
        <w:spacing w:line="540" w:lineRule="exact"/>
        <w:rPr>
          <w:rFonts w:ascii="Times New Roman" w:hAnsi="Times New Roman" w:eastAsia="仿宋_GB2312"/>
          <w:sz w:val="28"/>
          <w:szCs w:val="28"/>
        </w:rPr>
      </w:pPr>
      <w:r>
        <w:rPr>
          <w:rFonts w:ascii="Times New Roman" w:hAnsi="Times New Roman" w:eastAsia="仿宋_GB2312"/>
          <w:sz w:val="28"/>
          <w:szCs w:val="28"/>
        </w:rPr>
        <w:t xml:space="preserve">（4）经常注意观察和疏导，保持明暗下水道的畅通。爱护厕所内的一切设备，节约水电，禁止浪费。</w:t>
      </w:r>
      <w:r/>
    </w:p>
    <w:p>
      <w:pPr>
        <w:pStyle w:val="741"/>
        <w:ind w:firstLine="560"/>
        <w:spacing w:line="540" w:lineRule="exact"/>
        <w:rPr>
          <w:rFonts w:ascii="Times New Roman" w:hAnsi="Times New Roman" w:eastAsia="仿宋_GB2312"/>
          <w:sz w:val="28"/>
          <w:szCs w:val="28"/>
        </w:rPr>
      </w:pPr>
      <w:r>
        <w:rPr>
          <w:rFonts w:ascii="Times New Roman" w:hAnsi="Times New Roman" w:eastAsia="仿宋_GB2312"/>
          <w:sz w:val="28"/>
          <w:szCs w:val="28"/>
        </w:rPr>
        <w:t xml:space="preserve">（5）保洁人员不间断地循环保洁，目视道路、人行道干净、无杂物、无油污，无积水、积雪、污渍，雨雪天气及时清扫路面，确保无积水、积雪。</w:t>
      </w:r>
      <w:r/>
    </w:p>
    <w:p>
      <w:pPr>
        <w:ind w:firstLine="560"/>
        <w:spacing w:line="520" w:lineRule="exact"/>
        <w:rPr>
          <w:rFonts w:eastAsia="仿宋_GB2312"/>
          <w:bCs/>
          <w:iCs/>
          <w:sz w:val="28"/>
          <w:szCs w:val="28"/>
        </w:rPr>
      </w:pPr>
      <w:r>
        <w:rPr>
          <w:rFonts w:eastAsia="仿宋_GB2312"/>
          <w:bCs/>
          <w:iCs/>
          <w:sz w:val="28"/>
          <w:szCs w:val="28"/>
        </w:rPr>
        <w:t xml:space="preserve">3、北门桥绿化养护</w:t>
      </w:r>
      <w:r/>
    </w:p>
    <w:p>
      <w:pPr>
        <w:ind w:firstLine="560"/>
        <w:spacing w:line="520" w:lineRule="exact"/>
        <w:rPr>
          <w:rFonts w:eastAsia="仿宋_GB2312"/>
          <w:bCs/>
          <w:iCs/>
          <w:sz w:val="28"/>
          <w:szCs w:val="28"/>
        </w:rPr>
      </w:pPr>
      <w:r>
        <w:rPr>
          <w:rFonts w:eastAsia="仿宋_GB2312"/>
          <w:bCs/>
          <w:iCs/>
          <w:sz w:val="28"/>
          <w:szCs w:val="28"/>
        </w:rPr>
        <w:t xml:space="preserve">（1）绿化养护范围</w:t>
      </w:r>
      <w:r/>
    </w:p>
    <w:p>
      <w:pPr>
        <w:ind w:firstLine="560"/>
        <w:spacing w:line="500" w:lineRule="exact"/>
        <w:rPr>
          <w:rFonts w:eastAsia="仿宋_GB2312"/>
          <w:sz w:val="28"/>
          <w:szCs w:val="28"/>
        </w:rPr>
      </w:pPr>
      <w:r>
        <w:rPr>
          <w:rFonts w:eastAsia="仿宋_GB2312"/>
          <w:sz w:val="28"/>
          <w:szCs w:val="28"/>
        </w:rPr>
        <w:t xml:space="preserve">北门桥控制工程管理区域内2750平方米的绿化区域树木、竹林、花灌木、绿篱和草坪的灌溉、修剪、施肥和病虫害杂草防治等工作。</w:t>
      </w:r>
      <w:r/>
    </w:p>
    <w:p>
      <w:pPr>
        <w:ind w:firstLine="560"/>
        <w:spacing w:line="520" w:lineRule="exact"/>
        <w:rPr>
          <w:rFonts w:eastAsia="仿宋_GB2312"/>
          <w:bCs/>
          <w:iCs/>
          <w:sz w:val="28"/>
          <w:szCs w:val="28"/>
        </w:rPr>
      </w:pPr>
      <w:r>
        <w:rPr>
          <w:rFonts w:eastAsia="仿宋_GB2312"/>
          <w:bCs/>
          <w:iCs/>
          <w:sz w:val="28"/>
          <w:szCs w:val="28"/>
        </w:rPr>
        <w:t xml:space="preserve">（2）绿化养护标准</w:t>
      </w:r>
      <w:r/>
    </w:p>
    <w:p>
      <w:pPr>
        <w:ind w:firstLine="560"/>
        <w:spacing w:line="540" w:lineRule="exact"/>
        <w:rPr>
          <w:rFonts w:eastAsia="仿宋_GB2312"/>
          <w:sz w:val="28"/>
          <w:szCs w:val="28"/>
        </w:rPr>
      </w:pPr>
      <w:r>
        <w:rPr>
          <w:rFonts w:eastAsia="仿宋_GB2312"/>
          <w:sz w:val="28"/>
          <w:szCs w:val="28"/>
        </w:rPr>
        <w:t xml:space="preserve">绿化养护质量标准:一级，相关树木、草地养护标准、技术要求按住房城乡建设部发布的行业标准《园林绿化养护标准》（CJJ/T287-2018 ）实施。</w:t>
      </w:r>
      <w:r/>
    </w:p>
    <w:p>
      <w:pPr>
        <w:ind w:firstLine="560"/>
        <w:spacing w:line="520" w:lineRule="exact"/>
        <w:rPr>
          <w:rFonts w:eastAsia="仿宋_GB2312"/>
          <w:bCs/>
          <w:iCs/>
          <w:sz w:val="28"/>
          <w:szCs w:val="28"/>
        </w:rPr>
      </w:pPr>
      <w:r>
        <w:rPr>
          <w:rFonts w:eastAsia="仿宋_GB2312"/>
          <w:bCs/>
          <w:iCs/>
          <w:sz w:val="28"/>
          <w:szCs w:val="28"/>
        </w:rPr>
        <w:t xml:space="preserve">4、北门桥保洁</w:t>
      </w:r>
      <w:r/>
    </w:p>
    <w:p>
      <w:pPr>
        <w:ind w:firstLine="560"/>
        <w:spacing w:line="500" w:lineRule="exact"/>
        <w:rPr>
          <w:rFonts w:eastAsia="仿宋_GB2312"/>
          <w:sz w:val="28"/>
          <w:szCs w:val="28"/>
        </w:rPr>
      </w:pPr>
      <w:r>
        <w:rPr>
          <w:rFonts w:eastAsia="仿宋_GB2312"/>
          <w:sz w:val="28"/>
          <w:szCs w:val="28"/>
        </w:rPr>
        <w:t xml:space="preserve">以北门桥为中心，人行道路牙与河道边护栏范围，南首桥下东西500米、北首桥下东西250米、桥面四个桥亭区域、绿化带的日常保洁。</w:t>
      </w:r>
      <w:r/>
    </w:p>
    <w:p>
      <w:pPr>
        <w:ind w:firstLine="560"/>
        <w:spacing w:line="500" w:lineRule="exact"/>
        <w:rPr>
          <w:rFonts w:eastAsia="仿宋_GB2312"/>
          <w:bCs/>
          <w:sz w:val="28"/>
          <w:szCs w:val="28"/>
        </w:rPr>
      </w:pPr>
      <w:r>
        <w:rPr>
          <w:rFonts w:eastAsia="仿宋_GB2312"/>
          <w:bCs/>
          <w:sz w:val="28"/>
          <w:szCs w:val="28"/>
        </w:rPr>
        <w:t xml:space="preserve">保洁内容:（1）管理区域内道路、林地、草坪、</w:t>
      </w:r>
      <w:r>
        <w:rPr>
          <w:rFonts w:eastAsia="仿宋_GB2312"/>
          <w:sz w:val="28"/>
          <w:szCs w:val="28"/>
        </w:rPr>
        <w:t xml:space="preserve">门窗、栏杆扶手、墙面墙角</w:t>
      </w:r>
      <w:r>
        <w:rPr>
          <w:rFonts w:eastAsia="仿宋_GB2312"/>
          <w:bCs/>
          <w:sz w:val="28"/>
          <w:szCs w:val="28"/>
        </w:rPr>
        <w:t xml:space="preserve">的清扫；管理区域内所有座椅、导览（宣传）牌、垃圾桶等设施擦拭、除尘。（2）各种垃圾和绿化修剪枝叶的收集、清运（外运）；（3）启闭机室、高低压等办公区域保洁。</w:t>
      </w:r>
      <w:r/>
    </w:p>
    <w:p>
      <w:pPr>
        <w:ind w:firstLine="562"/>
        <w:spacing w:line="520" w:lineRule="exact"/>
        <w:rPr>
          <w:rFonts w:eastAsia="仿宋_GB2312"/>
          <w:bCs/>
          <w:iCs/>
          <w:sz w:val="28"/>
          <w:szCs w:val="28"/>
        </w:rPr>
      </w:pPr>
      <w:r>
        <w:rPr>
          <w:rFonts w:eastAsia="仿宋_GB2312"/>
          <w:b/>
          <w:iCs/>
          <w:sz w:val="28"/>
          <w:szCs w:val="28"/>
        </w:rPr>
        <w:t xml:space="preserve">六、安全保卫及后勤保障工作</w:t>
      </w:r>
      <w:r/>
    </w:p>
    <w:p>
      <w:pPr>
        <w:ind w:firstLine="560"/>
        <w:spacing w:line="520" w:lineRule="exact"/>
        <w:rPr>
          <w:rFonts w:eastAsia="仿宋_GB2312"/>
          <w:bCs/>
          <w:iCs/>
          <w:sz w:val="28"/>
          <w:szCs w:val="28"/>
        </w:rPr>
      </w:pPr>
      <w:r>
        <w:rPr>
          <w:rFonts w:eastAsia="仿宋_GB2312"/>
          <w:bCs/>
          <w:iCs/>
          <w:sz w:val="28"/>
          <w:szCs w:val="28"/>
        </w:rPr>
        <w:t xml:space="preserve">1、供应商负责负责里运河防洪控制工程安全保卫工作，主要包括：派遣6名人员负责堂子巷控制工程、北门桥控制工程安全保卫工作，要求24小时有安保人员在岗（三班倒）。</w:t>
      </w:r>
      <w:r/>
    </w:p>
    <w:p>
      <w:pPr>
        <w:ind w:firstLine="560"/>
        <w:spacing w:line="520" w:lineRule="exact"/>
        <w:rPr>
          <w:rFonts w:eastAsia="仿宋_GB2312"/>
          <w:bCs/>
          <w:iCs/>
          <w:sz w:val="28"/>
          <w:szCs w:val="28"/>
        </w:rPr>
      </w:pPr>
      <w:r>
        <w:rPr>
          <w:rFonts w:eastAsia="仿宋_GB2312"/>
          <w:bCs/>
          <w:iCs/>
          <w:sz w:val="28"/>
          <w:szCs w:val="28"/>
        </w:rPr>
        <w:t xml:space="preserve">2、供应商负责食堂管理工作，主要包括：派遣1名人员负责堂子巷工程食堂管理相关工作，负责食材采买（含大米、油等辅材）、餐食烹饪等工作，保障食堂正常运转；负责管理中心3名管理人员午餐；食堂如有涉及管理中心的接待任务，由食堂管理人员按实与管理中心结算。</w:t>
      </w:r>
      <w:r/>
    </w:p>
    <w:p>
      <w:pPr>
        <w:ind w:firstLine="560"/>
        <w:spacing w:line="520" w:lineRule="exact"/>
        <w:rPr>
          <w:rFonts w:hint="eastAsia" w:ascii="仿宋" w:hAnsi="仿宋" w:eastAsia="仿宋"/>
          <w:b/>
          <w:sz w:val="28"/>
          <w:szCs w:val="28"/>
        </w:rPr>
      </w:pPr>
      <w:r>
        <w:rPr>
          <w:rFonts w:hint="eastAsia" w:eastAsia="仿宋_GB2312"/>
          <w:bCs/>
          <w:sz w:val="28"/>
          <w:szCs w:val="28"/>
          <w:highlight w:val="none"/>
        </w:rPr>
        <w:t xml:space="preserve">3、其他工作，主要包括</w:t>
      </w:r>
      <w:r>
        <w:rPr>
          <w:rFonts w:eastAsia="仿宋_GB2312"/>
          <w:sz w:val="28"/>
          <w:szCs w:val="28"/>
          <w:highlight w:val="none"/>
        </w:rPr>
        <w:t xml:space="preserve">里运河防洪控制工程水费及网络费</w:t>
      </w:r>
      <w:r>
        <w:rPr>
          <w:rFonts w:hint="eastAsia" w:eastAsia="仿宋_GB2312"/>
          <w:sz w:val="28"/>
          <w:szCs w:val="28"/>
          <w:highlight w:val="none"/>
        </w:rPr>
        <w:t xml:space="preserve">，</w:t>
      </w:r>
      <w:r>
        <w:rPr>
          <w:rFonts w:eastAsia="仿宋_GB2312"/>
          <w:sz w:val="28"/>
          <w:szCs w:val="28"/>
          <w:highlight w:val="none"/>
        </w:rPr>
        <w:t xml:space="preserve">办公区办公设施、生活区生活设施</w:t>
      </w:r>
      <w:r>
        <w:rPr>
          <w:rFonts w:hint="eastAsia" w:eastAsia="仿宋_GB2312"/>
          <w:sz w:val="28"/>
          <w:szCs w:val="28"/>
          <w:highlight w:val="none"/>
        </w:rPr>
        <w:t xml:space="preserve">维修，</w:t>
      </w:r>
      <w:r>
        <w:rPr>
          <w:rFonts w:eastAsia="仿宋_GB2312"/>
          <w:sz w:val="28"/>
          <w:szCs w:val="28"/>
          <w:highlight w:val="none"/>
        </w:rPr>
        <w:t xml:space="preserve">管理区域</w:t>
      </w:r>
      <w:r>
        <w:rPr>
          <w:rFonts w:hint="eastAsia" w:eastAsia="仿宋_GB2312"/>
          <w:sz w:val="28"/>
          <w:szCs w:val="28"/>
          <w:highlight w:val="none"/>
        </w:rPr>
        <w:t xml:space="preserve">内</w:t>
      </w:r>
      <w:r>
        <w:rPr>
          <w:rFonts w:eastAsia="仿宋_GB2312"/>
          <w:sz w:val="28"/>
          <w:szCs w:val="28"/>
          <w:highlight w:val="none"/>
        </w:rPr>
        <w:t xml:space="preserve">单项500元以下设施维修，以及办公用品</w:t>
      </w:r>
      <w:r>
        <w:rPr>
          <w:rFonts w:hint="eastAsia" w:eastAsia="仿宋_GB2312"/>
          <w:sz w:val="28"/>
          <w:szCs w:val="28"/>
          <w:highlight w:val="none"/>
        </w:rPr>
        <w:t xml:space="preserve">采购</w:t>
      </w:r>
      <w:r>
        <w:rPr>
          <w:rFonts w:eastAsia="仿宋_GB2312"/>
          <w:sz w:val="28"/>
          <w:szCs w:val="28"/>
          <w:highlight w:val="none"/>
        </w:rPr>
        <w:t xml:space="preserve">、</w:t>
      </w:r>
      <w:r>
        <w:rPr>
          <w:rFonts w:hint="eastAsia" w:eastAsia="仿宋_GB2312"/>
          <w:sz w:val="28"/>
          <w:szCs w:val="28"/>
          <w:highlight w:val="none"/>
        </w:rPr>
        <w:t xml:space="preserve">临时排水机泵架设维修等。</w:t>
      </w:r>
      <w:r/>
    </w:p>
    <w:p>
      <w:pPr>
        <w:ind w:firstLine="562"/>
        <w:spacing w:line="520" w:lineRule="exact"/>
        <w:rPr>
          <w:rFonts w:eastAsia="仿宋_GB2312"/>
          <w:b/>
          <w:iCs/>
          <w:sz w:val="28"/>
          <w:szCs w:val="28"/>
        </w:rPr>
      </w:pPr>
      <w:r>
        <w:rPr>
          <w:rFonts w:hint="eastAsia" w:eastAsia="仿宋_GB2312"/>
          <w:b/>
          <w:iCs/>
          <w:sz w:val="28"/>
          <w:szCs w:val="28"/>
        </w:rPr>
        <w:t xml:space="preserve">七、商务部分</w:t>
      </w:r>
      <w:r/>
    </w:p>
    <w:p>
      <w:pPr>
        <w:pStyle w:val="919"/>
        <w:ind w:firstLine="562"/>
        <w:spacing w:line="520" w:lineRule="exact"/>
        <w:rPr>
          <w:rFonts w:ascii="Times New Roman" w:hAnsi="Times New Roman" w:eastAsia="仿宋_GB2312"/>
          <w:bCs/>
          <w:iCs/>
          <w:sz w:val="28"/>
          <w:szCs w:val="28"/>
        </w:rPr>
      </w:pPr>
      <w:r>
        <w:rPr>
          <w:rFonts w:hint="eastAsia" w:ascii="Times New Roman" w:hAnsi="Times New Roman" w:eastAsia="仿宋_GB2312"/>
          <w:bCs/>
          <w:iCs/>
          <w:sz w:val="28"/>
          <w:szCs w:val="28"/>
        </w:rPr>
        <w:t xml:space="preserve">（一）服务时间:合同签订之日起一年。合同期满，双方无异议后可以续签合同（一年），最多不超过2次。</w:t>
      </w:r>
      <w:r/>
    </w:p>
    <w:p>
      <w:pPr>
        <w:pStyle w:val="919"/>
        <w:ind w:firstLine="562"/>
        <w:spacing w:line="520" w:lineRule="exact"/>
        <w:rPr>
          <w:rFonts w:ascii="Times New Roman" w:hAnsi="Times New Roman" w:eastAsia="仿宋_GB2312"/>
          <w:bCs/>
          <w:iCs/>
          <w:sz w:val="28"/>
          <w:szCs w:val="28"/>
        </w:rPr>
      </w:pPr>
      <w:r>
        <w:rPr>
          <w:rFonts w:hint="eastAsia" w:ascii="Times New Roman" w:hAnsi="Times New Roman" w:eastAsia="仿宋_GB2312"/>
          <w:bCs/>
          <w:iCs/>
          <w:sz w:val="28"/>
          <w:szCs w:val="28"/>
        </w:rPr>
        <w:t xml:space="preserve">（二）服务地点:采购人指定地点。</w:t>
      </w:r>
      <w:r/>
    </w:p>
    <w:p>
      <w:pPr>
        <w:pStyle w:val="919"/>
        <w:ind w:firstLine="562"/>
        <w:spacing w:line="520" w:lineRule="exact"/>
        <w:rPr>
          <w:rFonts w:hint="eastAsia" w:hAnsi="宋体"/>
          <w:b/>
          <w:bCs/>
          <w:sz w:val="44"/>
        </w:rPr>
      </w:pPr>
      <w:r>
        <w:rPr>
          <w:rFonts w:hint="eastAsia" w:ascii="Times New Roman" w:hAnsi="Times New Roman" w:eastAsia="仿宋_GB2312"/>
          <w:bCs/>
          <w:iCs/>
          <w:sz w:val="28"/>
          <w:szCs w:val="28"/>
        </w:rPr>
        <w:t xml:space="preserve">（三）付款方式:乙方按照磋商文件和合同的要求提供服务。服务期每满半年，采购人根据该阶段考核结果支付该半年维护费用。</w:t>
      </w:r>
      <w:r/>
    </w:p>
    <w:p>
      <w:pPr>
        <w:ind w:firstLine="1749"/>
        <w:spacing w:line="360" w:lineRule="auto"/>
        <w:rPr>
          <w:rFonts w:hint="eastAsia" w:ascii="宋体" w:hAnsi="宋体"/>
          <w:b/>
          <w:bCs/>
          <w:sz w:val="44"/>
        </w:rPr>
      </w:pPr>
      <w:r>
        <w:rPr>
          <w:rFonts w:hint="eastAsia" w:ascii="宋体" w:hAnsi="宋体"/>
          <w:b/>
          <w:bCs/>
          <w:sz w:val="44"/>
        </w:rPr>
      </w:r>
      <w:r/>
    </w:p>
    <w:p>
      <w:pPr>
        <w:pStyle w:val="919"/>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r>
      <w:r/>
    </w:p>
    <w:p>
      <w:pPr>
        <w:pStyle w:val="919"/>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p>
    <w:p>
      <w:pPr>
        <w:pStyle w:val="919"/>
        <w:ind w:firstLine="2640"/>
        <w:rPr>
          <w:rFonts w:hint="eastAsia" w:ascii="黑体" w:hAnsi="黑体" w:eastAsia="黑体"/>
          <w:sz w:val="44"/>
          <w:szCs w:val="44"/>
        </w:rPr>
      </w:pPr>
      <w:r>
        <w:rPr>
          <w:rFonts w:hint="eastAsia" w:ascii="黑体" w:hAnsi="黑体" w:eastAsia="黑体"/>
          <w:sz w:val="44"/>
          <w:szCs w:val="44"/>
        </w:rPr>
      </w:r>
      <w:r/>
    </w:p>
    <w:p>
      <w:pPr>
        <w:pStyle w:val="919"/>
        <w:ind w:firstLine="2640"/>
        <w:rPr>
          <w:rFonts w:hint="eastAsia" w:ascii="黑体" w:hAnsi="黑体" w:eastAsia="黑体"/>
          <w:sz w:val="44"/>
          <w:szCs w:val="44"/>
        </w:rPr>
      </w:pPr>
      <w:r>
        <w:rPr>
          <w:rFonts w:hint="eastAsia" w:ascii="黑体" w:hAnsi="黑体" w:eastAsia="黑体"/>
          <w:sz w:val="44"/>
          <w:szCs w:val="44"/>
        </w:rPr>
      </w:r>
      <w:r/>
    </w:p>
    <w:p>
      <w:pPr>
        <w:pStyle w:val="919"/>
        <w:rPr>
          <w:rFonts w:hint="eastAsia" w:ascii="黑体" w:hAnsi="黑体" w:eastAsia="黑体"/>
          <w:sz w:val="44"/>
          <w:szCs w:val="44"/>
        </w:rPr>
      </w:pPr>
      <w:r>
        <w:rPr>
          <w:rFonts w:hint="eastAsia" w:ascii="黑体" w:hAnsi="黑体" w:eastAsia="黑体"/>
          <w:sz w:val="44"/>
          <w:szCs w:val="44"/>
        </w:rPr>
      </w:r>
      <w:r/>
    </w:p>
    <w:p>
      <w:pPr>
        <w:pStyle w:val="919"/>
        <w:rPr>
          <w:rFonts w:hint="eastAsia" w:ascii="黑体" w:hAnsi="黑体" w:eastAsia="黑体"/>
          <w:sz w:val="32"/>
        </w:rPr>
      </w:pPr>
      <w:r>
        <w:rPr>
          <w:rFonts w:hint="eastAsia" w:ascii="黑体" w:hAnsi="黑体" w:eastAsia="黑体"/>
          <w:sz w:val="32"/>
        </w:rPr>
      </w:r>
      <w:r/>
    </w:p>
    <w:p>
      <w:pPr>
        <w:pStyle w:val="919"/>
        <w:rPr>
          <w:rFonts w:hint="eastAsia" w:ascii="黑体" w:hAnsi="黑体" w:eastAsia="黑体"/>
          <w:sz w:val="32"/>
        </w:rPr>
      </w:pPr>
      <w:r>
        <w:rPr>
          <w:rFonts w:hint="eastAsia" w:ascii="黑体" w:hAnsi="黑体" w:eastAsia="黑体"/>
          <w:sz w:val="32"/>
        </w:rPr>
      </w:r>
      <w:r/>
    </w:p>
    <w:p>
      <w:pPr>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919"/>
        <w:rPr>
          <w:rFonts w:hint="eastAsia" w:ascii="黑体" w:hAnsi="黑体" w:eastAsia="黑体"/>
          <w:sz w:val="32"/>
        </w:rPr>
      </w:pPr>
      <w:r>
        <w:rPr>
          <w:rFonts w:hint="eastAsia" w:ascii="黑体" w:hAnsi="黑体" w:eastAsia="黑体"/>
          <w:sz w:val="32"/>
        </w:rPr>
      </w:r>
      <w:r/>
    </w:p>
    <w:p>
      <w:pPr>
        <w:pStyle w:val="919"/>
        <w:ind w:firstLine="1066"/>
        <w:rPr>
          <w:rFonts w:hint="eastAsia" w:ascii="黑体" w:hAnsi="黑体" w:eastAsia="黑体"/>
          <w:b/>
          <w:sz w:val="36"/>
          <w:szCs w:val="24"/>
        </w:rPr>
      </w:pPr>
      <w:r>
        <w:rPr>
          <w:rFonts w:hint="eastAsia" w:ascii="黑体" w:hAnsi="黑体" w:eastAsia="黑体"/>
          <w:b/>
          <w:sz w:val="36"/>
          <w:szCs w:val="24"/>
        </w:rPr>
      </w:r>
      <w:r/>
    </w:p>
    <w:p>
      <w:pPr>
        <w:pStyle w:val="919"/>
        <w:ind w:firstLine="1066"/>
        <w:rPr>
          <w:rFonts w:hint="eastAsia" w:ascii="黑体" w:hAnsi="黑体" w:eastAsia="黑体"/>
          <w:b/>
          <w:sz w:val="36"/>
          <w:szCs w:val="24"/>
        </w:rPr>
      </w:pPr>
      <w:r>
        <w:rPr>
          <w:rFonts w:hint="eastAsia" w:ascii="黑体" w:hAnsi="黑体" w:eastAsia="黑体"/>
          <w:b/>
          <w:sz w:val="36"/>
          <w:szCs w:val="24"/>
        </w:rPr>
      </w:r>
      <w:r/>
    </w:p>
    <w:p>
      <w:pPr>
        <w:pStyle w:val="919"/>
        <w:ind w:firstLine="1428"/>
        <w:rPr>
          <w:rFonts w:hint="eastAsia"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p>
    <w:p>
      <w:pPr>
        <w:pStyle w:val="919"/>
        <w:ind w:firstLine="1904"/>
        <w:rPr>
          <w:rFonts w:hint="eastAsia" w:ascii="黑体" w:hAnsi="黑体" w:eastAsia="黑体"/>
          <w:sz w:val="32"/>
        </w:rPr>
      </w:pPr>
      <w:r>
        <w:rPr>
          <w:rFonts w:hint="eastAsia" w:ascii="黑体" w:hAnsi="黑体" w:eastAsia="黑体"/>
          <w:sz w:val="32"/>
        </w:rPr>
      </w:r>
      <w:r/>
    </w:p>
    <w:p>
      <w:pPr>
        <w:pStyle w:val="919"/>
        <w:ind w:firstLine="1904"/>
        <w:rPr>
          <w:rFonts w:hint="eastAsia" w:ascii="黑体" w:hAnsi="黑体" w:eastAsia="黑体"/>
          <w:sz w:val="32"/>
        </w:rPr>
      </w:pPr>
      <w:r>
        <w:rPr>
          <w:rFonts w:hint="eastAsia" w:ascii="黑体" w:hAnsi="黑体" w:eastAsia="黑体"/>
          <w:sz w:val="32"/>
        </w:rPr>
      </w:r>
      <w:r/>
    </w:p>
    <w:p>
      <w:pPr>
        <w:pStyle w:val="919"/>
        <w:ind w:firstLine="1904"/>
        <w:rPr>
          <w:rFonts w:hint="eastAsia" w:ascii="黑体" w:hAnsi="黑体" w:eastAsia="黑体"/>
          <w:sz w:val="32"/>
        </w:rPr>
      </w:pPr>
      <w:r>
        <w:rPr>
          <w:rFonts w:hint="eastAsia" w:ascii="黑体" w:hAnsi="黑体" w:eastAsia="黑体"/>
          <w:sz w:val="32"/>
        </w:rPr>
      </w:r>
      <w:r/>
    </w:p>
    <w:p>
      <w:pPr>
        <w:pStyle w:val="919"/>
        <w:ind w:firstLine="1904"/>
        <w:rPr>
          <w:rFonts w:hint="eastAsia" w:ascii="黑体" w:hAnsi="黑体" w:eastAsia="黑体"/>
          <w:sz w:val="32"/>
        </w:rPr>
      </w:pPr>
      <w:r>
        <w:rPr>
          <w:rFonts w:hint="eastAsia" w:ascii="黑体" w:hAnsi="黑体" w:eastAsia="黑体"/>
          <w:sz w:val="32"/>
        </w:rPr>
      </w:r>
      <w:r/>
    </w:p>
    <w:p>
      <w:pPr>
        <w:pStyle w:val="919"/>
        <w:ind w:firstLine="2645"/>
        <w:rPr>
          <w:rFonts w:hint="eastAsia" w:ascii="黑体" w:hAnsi="黑体" w:eastAsia="黑体"/>
          <w:b/>
          <w:sz w:val="32"/>
        </w:rPr>
      </w:pPr>
      <w:r>
        <w:rPr>
          <w:rFonts w:hint="eastAsia" w:ascii="黑体" w:hAnsi="黑体" w:eastAsia="黑体"/>
          <w:b/>
          <w:sz w:val="36"/>
          <w:szCs w:val="24"/>
        </w:rPr>
        <w:t xml:space="preserve">二0二五年    月    日</w:t>
      </w:r>
      <w:r/>
    </w:p>
    <w:p>
      <w:pPr>
        <w:spacing w:line="640" w:lineRule="exact"/>
        <w:rPr>
          <w:rFonts w:hint="eastAsia" w:ascii="宋体" w:hAnsi="宋体"/>
          <w:sz w:val="28"/>
          <w:szCs w:val="28"/>
        </w:rPr>
      </w:pPr>
      <w:r>
        <w:rPr>
          <w:rFonts w:hint="eastAsia" w:ascii="宋体" w:hAnsi="宋体"/>
          <w:sz w:val="28"/>
          <w:szCs w:val="28"/>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p>
    <w:p>
      <w:pPr>
        <w:spacing w:line="640" w:lineRule="exact"/>
        <w:rPr>
          <w:rFonts w:hint="eastAsia" w:ascii="仿宋" w:hAnsi="仿宋" w:eastAsia="仿宋"/>
          <w:sz w:val="28"/>
        </w:rPr>
      </w:pPr>
      <w:r>
        <w:rPr>
          <w:rFonts w:hint="eastAsia" w:ascii="仿宋" w:hAnsi="仿宋" w:eastAsia="仿宋"/>
          <w:sz w:val="28"/>
        </w:rPr>
        <w:t xml:space="preserve">淮安市城市水利工程管理中心:</w:t>
      </w:r>
      <w:r/>
    </w:p>
    <w:p>
      <w:pPr>
        <w:pStyle w:val="968"/>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68"/>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3、按照磋商文件中规定的各项要求，我方愿以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hint="eastAsia" w:ascii="仿宋" w:hAnsi="仿宋" w:eastAsia="仿宋"/>
          <w:sz w:val="28"/>
        </w:rPr>
      </w:pPr>
      <w:r>
        <w:rPr>
          <w:rFonts w:hint="eastAsia" w:ascii="仿宋" w:hAnsi="仿宋" w:eastAsia="仿宋"/>
          <w:sz w:val="28"/>
        </w:rPr>
      </w:r>
      <w:r/>
    </w:p>
    <w:p>
      <w:pPr>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68"/>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rPr>
        <w:t xml:space="preserve">电子签</w:t>
      </w:r>
      <w:r>
        <w:rPr>
          <w:rFonts w:hint="eastAsia" w:ascii="仿宋" w:hAnsi="仿宋" w:eastAsia="仿宋"/>
          <w:sz w:val="28"/>
          <w:u w:val="single"/>
        </w:rPr>
        <w:t xml:space="preserve">章）           </w:t>
      </w:r>
      <w:r/>
    </w:p>
    <w:p>
      <w:pPr>
        <w:pStyle w:val="968"/>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19"/>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2926"/>
        <w:spacing w:line="440" w:lineRule="exact"/>
        <w:rPr>
          <w:rFonts w:hint="eastAsia" w:ascii="仿宋" w:hAnsi="仿宋" w:eastAsia="仿宋"/>
          <w:sz w:val="28"/>
          <w:szCs w:val="28"/>
        </w:rPr>
      </w:pPr>
      <w:r>
        <w:rPr>
          <w:rFonts w:hint="eastAsia" w:ascii="仿宋" w:hAnsi="仿宋" w:eastAsia="仿宋"/>
          <w:sz w:val="28"/>
          <w:szCs w:val="28"/>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919"/>
        <w:jc w:val="center"/>
        <w:rPr>
          <w:rFonts w:hint="eastAsia" w:ascii="仿宋" w:hAnsi="仿宋" w:eastAsia="仿宋"/>
          <w:b/>
          <w:sz w:val="32"/>
          <w:szCs w:val="32"/>
        </w:rPr>
      </w:pPr>
      <w:r>
        <w:rPr>
          <w:rFonts w:hint="eastAsia" w:ascii="仿宋" w:hAnsi="仿宋" w:eastAsia="仿宋"/>
          <w:b/>
          <w:sz w:val="32"/>
          <w:szCs w:val="32"/>
        </w:rPr>
        <w:t xml:space="preserve">二、磋商报价明细表</w:t>
      </w:r>
      <w:r/>
    </w:p>
    <w:p>
      <w:pPr>
        <w:pStyle w:val="919"/>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731"/>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w:t>
            </w:r>
            <w:r>
              <w:rPr>
                <w:rFonts w:ascii="仿宋" w:hAnsi="仿宋" w:eastAsia="仿宋"/>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w:t>
            </w:r>
            <w:r>
              <w:rPr>
                <w:rFonts w:ascii="仿宋" w:hAnsi="仿宋" w:eastAsia="仿宋"/>
                <w:sz w:val="24"/>
                <w:szCs w:val="24"/>
              </w:rPr>
              <w:t xml:space="preserve">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919"/>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textDirection w:val="lrTb"/>
            <w:noWrap w:val="false"/>
          </w:tcPr>
          <w:p>
            <w:pPr>
              <w:pStyle w:val="919"/>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919"/>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919"/>
        <w:ind w:firstLine="411"/>
        <w:spacing w:line="440" w:lineRule="exact"/>
        <w:rPr>
          <w:rFonts w:hint="eastAsia" w:ascii="仿宋" w:hAnsi="仿宋" w:eastAsia="仿宋"/>
          <w:sz w:val="28"/>
          <w:szCs w:val="24"/>
        </w:rPr>
      </w:pPr>
      <w:r>
        <w:rPr>
          <w:rFonts w:ascii="仿宋" w:hAnsi="仿宋" w:eastAsia="仿宋"/>
          <w:sz w:val="28"/>
          <w:szCs w:val="24"/>
        </w:rPr>
        <w:t xml:space="preserve">备注：报价采用总承包方式，“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rPr>
        <w:t xml:space="preserve">服务</w:t>
      </w:r>
      <w:r>
        <w:rPr>
          <w:rFonts w:ascii="仿宋" w:hAnsi="仿宋" w:eastAsia="仿宋"/>
          <w:sz w:val="28"/>
          <w:szCs w:val="24"/>
        </w:rPr>
        <w:t xml:space="preserve">（包含与</w:t>
      </w:r>
      <w:r>
        <w:rPr>
          <w:rFonts w:hint="eastAsia" w:ascii="仿宋" w:hAnsi="仿宋" w:eastAsia="仿宋"/>
          <w:sz w:val="28"/>
          <w:szCs w:val="24"/>
        </w:rPr>
        <w:t xml:space="preserve">服务</w:t>
      </w:r>
      <w:r>
        <w:rPr>
          <w:rFonts w:ascii="仿宋" w:hAnsi="仿宋" w:eastAsia="仿宋"/>
          <w:sz w:val="28"/>
          <w:szCs w:val="24"/>
        </w:rPr>
        <w:t xml:space="preserve">相关的</w:t>
      </w:r>
      <w:r>
        <w:rPr>
          <w:rFonts w:hint="eastAsia" w:ascii="仿宋" w:hAnsi="仿宋" w:eastAsia="仿宋"/>
          <w:sz w:val="28"/>
          <w:szCs w:val="24"/>
        </w:rPr>
        <w:t xml:space="preserve">货物</w:t>
      </w:r>
      <w:r>
        <w:rPr>
          <w:rFonts w:ascii="仿宋" w:hAnsi="仿宋" w:eastAsia="仿宋"/>
          <w:sz w:val="28"/>
          <w:szCs w:val="24"/>
        </w:rPr>
        <w:t xml:space="preserve">）费用、安装调试费、测试验收费、培训费、运行维护费用、税金、及其他有关的为完成本项目发生的所有费用，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ind w:firstLine="280"/>
        <w:spacing w:line="440" w:lineRule="exact"/>
        <w:rPr>
          <w:rFonts w:hint="eastAsia" w:ascii="仿宋" w:hAnsi="仿宋" w:eastAsia="仿宋"/>
          <w:sz w:val="28"/>
          <w:szCs w:val="28"/>
        </w:rPr>
      </w:pPr>
      <w:r>
        <w:rPr>
          <w:rFonts w:hint="eastAsia" w:ascii="仿宋" w:hAnsi="仿宋" w:eastAsia="仿宋"/>
          <w:sz w:val="28"/>
          <w:szCs w:val="28"/>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三、服务要求响应偏离表</w:t>
      </w:r>
      <w:r/>
    </w:p>
    <w:tbl>
      <w:tblPr>
        <w:tblStyle w:val="731"/>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项目采购需求中主要服务</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所报服务及相关描述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（2）供应商必须仔细阅读本磋商文件第五章中所有服务条款和相关要求，并将响应情况及偏离情况逐项填入上表，响应时不得对原有条款进行直接复制粘贴及简单表述为完全响应。</w:t>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1285"/>
        <w:spacing w:line="520" w:lineRule="exact"/>
        <w:rPr>
          <w:rFonts w:hint="eastAsia" w:ascii="仿宋" w:hAnsi="仿宋" w:eastAsia="仿宋"/>
          <w:b/>
          <w:bCs/>
          <w:sz w:val="32"/>
          <w:szCs w:val="32"/>
        </w:rPr>
      </w:pPr>
      <w:r>
        <w:rPr>
          <w:rFonts w:hint="eastAsia" w:ascii="仿宋" w:hAnsi="仿宋" w:eastAsia="仿宋"/>
          <w:b/>
          <w:bCs/>
          <w:sz w:val="32"/>
          <w:szCs w:val="32"/>
        </w:rPr>
      </w:r>
      <w:r/>
    </w:p>
    <w:p>
      <w:pPr>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919"/>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rPr>
      </w:pPr>
      <w:r>
        <w:rPr>
          <w:rFonts w:hint="eastAsia" w:ascii="仿宋" w:hAnsi="仿宋" w:eastAsia="仿宋"/>
          <w:sz w:val="28"/>
          <w:szCs w:val="28"/>
        </w:rPr>
      </w:r>
      <w:r/>
    </w:p>
    <w:p>
      <w:pPr>
        <w:ind w:firstLine="548"/>
        <w:spacing w:line="520" w:lineRule="exact"/>
        <w:rPr>
          <w:rFonts w:hint="eastAsia" w:ascii="仿宋" w:hAnsi="仿宋" w:eastAsia="仿宋"/>
          <w:bCs/>
          <w:sz w:val="28"/>
        </w:rPr>
      </w:pPr>
      <w:r>
        <w:rPr>
          <w:rFonts w:hint="eastAsia" w:ascii="仿宋" w:hAnsi="仿宋" w:eastAsia="仿宋"/>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1014"/>
        <w:rPr>
          <w:rFonts w:hint="eastAsia" w:ascii="仿宋" w:hAnsi="仿宋" w:eastAsia="仿宋"/>
          <w:b/>
          <w:bCs/>
          <w:sz w:val="32"/>
        </w:rPr>
      </w:pPr>
      <w:r>
        <w:rPr>
          <w:rFonts w:hint="eastAsia" w:ascii="仿宋" w:hAnsi="仿宋" w:eastAsia="仿宋"/>
          <w:b/>
          <w:bCs/>
          <w:sz w:val="32"/>
        </w:rPr>
      </w:r>
      <w:r/>
    </w:p>
    <w:p>
      <w:pPr>
        <w:pStyle w:val="1014"/>
        <w:jc w:val="center"/>
        <w:rPr>
          <w:rFonts w:hint="eastAsia" w:ascii="仿宋" w:hAnsi="仿宋" w:eastAsia="仿宋"/>
          <w:b/>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人员配备表</w:t>
      </w:r>
      <w:r/>
    </w:p>
    <w:p>
      <w:pPr>
        <w:pStyle w:val="1014"/>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161"/>
        <w:gridCol w:w="1123"/>
        <w:gridCol w:w="1123"/>
        <w:gridCol w:w="1424"/>
        <w:gridCol w:w="1071"/>
        <w:gridCol w:w="1042"/>
        <w:gridCol w:w="1366"/>
      </w:tblGrid>
      <w:tr>
        <w:trPr>
          <w:jc w:val="center"/>
          <w:trHeight w:val="482"/>
        </w:trPr>
        <w:tc>
          <w:tcPr>
            <w:tcW w:w="991"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 号</w:t>
            </w:r>
            <w:r/>
          </w:p>
        </w:tc>
        <w:tc>
          <w:tcPr>
            <w:tcW w:w="1161"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 名</w:t>
            </w:r>
            <w:r/>
          </w:p>
        </w:tc>
        <w:tc>
          <w:tcPr>
            <w:tcW w:w="1123"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性别</w:t>
            </w:r>
            <w:r/>
          </w:p>
        </w:tc>
        <w:tc>
          <w:tcPr>
            <w:tcW w:w="1123"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年 龄</w:t>
            </w:r>
            <w:r/>
          </w:p>
        </w:tc>
        <w:tc>
          <w:tcPr>
            <w:tcW w:w="1424"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工作经历</w:t>
            </w:r>
            <w:r/>
          </w:p>
        </w:tc>
        <w:tc>
          <w:tcPr>
            <w:tcW w:w="1071"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 称</w:t>
            </w:r>
            <w:r/>
          </w:p>
        </w:tc>
        <w:tc>
          <w:tcPr>
            <w:tcW w:w="1042"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相关证书</w:t>
            </w:r>
            <w:r/>
          </w:p>
        </w:tc>
        <w:tc>
          <w:tcPr>
            <w:tcW w:w="1366"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拟任岗位</w:t>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1014"/>
        <w:ind w:firstLine="691"/>
        <w:spacing w:line="440" w:lineRule="exact"/>
        <w:rPr>
          <w:rFonts w:hint="eastAsia" w:ascii="仿宋" w:hAnsi="仿宋" w:eastAsia="仿宋"/>
          <w:sz w:val="28"/>
          <w:szCs w:val="24"/>
        </w:rPr>
      </w:pPr>
      <w:r>
        <w:rPr>
          <w:rFonts w:hint="eastAsia" w:ascii="仿宋" w:hAnsi="仿宋" w:eastAsia="仿宋"/>
          <w:sz w:val="28"/>
          <w:szCs w:val="24"/>
        </w:rPr>
      </w:r>
      <w:r/>
    </w:p>
    <w:p>
      <w:pPr>
        <w:spacing w:line="520" w:lineRule="exact"/>
        <w:rPr>
          <w:rFonts w:hint="eastAsia" w:ascii="仿宋" w:hAnsi="仿宋" w:eastAsia="仿宋" w:cs="仿宋"/>
          <w:color w:val="000000"/>
          <w:sz w:val="28"/>
          <w:u w:val="single"/>
        </w:rPr>
      </w:pPr>
      <w:r>
        <w:rPr>
          <w:rFonts w:hint="eastAsia" w:ascii="仿宋" w:hAnsi="仿宋" w:eastAsia="仿宋" w:cs="仿宋"/>
          <w:color w:val="000000"/>
          <w:sz w:val="28"/>
        </w:rPr>
        <w:t xml:space="preserve">供应商:</w:t>
      </w:r>
      <w:r>
        <w:rPr>
          <w:rFonts w:hint="eastAsia" w:ascii="仿宋" w:hAnsi="仿宋" w:eastAsia="仿宋" w:cs="仿宋"/>
          <w:color w:val="000000"/>
          <w:sz w:val="28"/>
          <w:u w:val="single"/>
        </w:rPr>
        <w:t xml:space="preserve">（加盖CA</w:t>
      </w:r>
      <w:r>
        <w:rPr>
          <w:rFonts w:hint="eastAsia" w:ascii="仿宋" w:hAnsi="仿宋" w:eastAsia="仿宋"/>
          <w:sz w:val="28"/>
          <w:szCs w:val="28"/>
          <w:u w:val="single"/>
          <w:lang w:val="zh-CN"/>
        </w:rPr>
        <w:t xml:space="preserve">电子签</w:t>
      </w:r>
      <w:r>
        <w:rPr>
          <w:rFonts w:hint="eastAsia" w:ascii="仿宋" w:hAnsi="仿宋" w:eastAsia="仿宋"/>
          <w:sz w:val="28"/>
          <w:u w:val="single"/>
        </w:rPr>
        <w:t xml:space="preserve">章</w:t>
      </w:r>
      <w:r>
        <w:rPr>
          <w:rFonts w:hint="eastAsia" w:ascii="仿宋" w:hAnsi="仿宋" w:eastAsia="仿宋" w:cs="仿宋"/>
          <w:color w:val="000000"/>
          <w:sz w:val="28"/>
          <w:u w:val="single"/>
        </w:rPr>
        <w:t xml:space="preserve">）</w:t>
      </w:r>
      <w:r/>
    </w:p>
    <w:p>
      <w:pPr>
        <w:pStyle w:val="1014"/>
        <w:rPr>
          <w:rFonts w:hint="eastAsia" w:ascii="仿宋" w:hAnsi="仿宋" w:eastAsia="仿宋"/>
          <w:sz w:val="28"/>
          <w:szCs w:val="24"/>
        </w:rPr>
      </w:pPr>
      <w:r>
        <w:rPr>
          <w:rFonts w:hint="eastAsia" w:ascii="仿宋" w:hAnsi="仿宋" w:eastAsia="仿宋"/>
          <w:color w:val="000000"/>
          <w:sz w:val="28"/>
        </w:rPr>
        <w:t xml:space="preserve">日期:  年  月  日</w:t>
      </w:r>
      <w:r/>
    </w:p>
    <w:p>
      <w:pPr>
        <w:pStyle w:val="1014"/>
        <w:ind w:firstLine="691"/>
        <w:spacing w:line="440" w:lineRule="exact"/>
        <w:rPr>
          <w:rFonts w:hint="eastAsia" w:ascii="仿宋" w:hAnsi="仿宋" w:eastAsia="仿宋"/>
          <w:sz w:val="28"/>
          <w:szCs w:val="24"/>
        </w:rPr>
      </w:pPr>
      <w:r>
        <w:rPr>
          <w:rFonts w:hint="eastAsia" w:ascii="仿宋" w:hAnsi="仿宋" w:eastAsia="仿宋"/>
          <w:sz w:val="28"/>
          <w:szCs w:val="24"/>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1606"/>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六、综合评分时供应商需提供的证明文件</w:t>
      </w:r>
      <w:r/>
    </w:p>
    <w:p>
      <w:pPr>
        <w:ind w:firstLine="140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77"/>
        <w:spacing w:line="440" w:lineRule="exact"/>
        <w:rPr>
          <w:rFonts w:hint="eastAsia" w:ascii="宋体" w:hAnsi="宋体"/>
          <w:b/>
          <w:sz w:val="36"/>
        </w:rPr>
      </w:pPr>
      <w:r/>
      <w:bookmarkStart w:id="36" w:name="_Toc157775454"/>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3534"/>
        <w:spacing w:line="440" w:lineRule="exact"/>
        <w:rPr>
          <w:rFonts w:hint="eastAsia" w:ascii="仿宋" w:hAnsi="仿宋" w:eastAsia="仿宋"/>
          <w:b/>
          <w:sz w:val="32"/>
          <w:szCs w:val="32"/>
        </w:rPr>
      </w:pPr>
      <w:r>
        <w:rPr>
          <w:rFonts w:hint="eastAsia" w:ascii="仿宋" w:hAnsi="仿宋" w:eastAsia="仿宋"/>
          <w:b/>
          <w:sz w:val="32"/>
          <w:szCs w:val="32"/>
        </w:rPr>
        <w:t xml:space="preserve">七、示范格式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36"/>
      <w:r/>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68"/>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致淮安市城市水利工程管理中心:</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代表我公司参加代理机构组织的（项目编号: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采购项目的政府采购活动，受托人有权在该招标活动中，以我单位的名义签署磋商函和响应文件，与代理机构协商、澄清、解释，签订合同书并执行一切与此有关的事项。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909"/>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致淮安市城市水利工程管理中心: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909"/>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致淮安市城市水利工程管理中心:</w:t>
      </w:r>
      <w:r/>
    </w:p>
    <w:p>
      <w:pPr>
        <w:pStyle w:val="909"/>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09"/>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09"/>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09"/>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909"/>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09"/>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9"/>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909"/>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909"/>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909"/>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09"/>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致淮安市城市水利工程管理中心:</w:t>
      </w:r>
      <w:r/>
    </w:p>
    <w:p>
      <w:pPr>
        <w:pStyle w:val="909"/>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9"/>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09"/>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09"/>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09"/>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51</w:t>
    </w:r>
    <w:r>
      <w:fldChar w:fldCharType="end"/>
    </w:r>
    <w:r/>
  </w:p>
  <w:p>
    <w:pPr>
      <w:pStyle w:val="9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32"/>
      </w:rPr>
      <w:framePr w:wrap="around" w:vAnchor="text" w:hAnchor="margin" w:xAlign="center" w:y="1"/>
    </w:pPr>
    <w:r>
      <w:fldChar w:fldCharType="begin"/>
    </w:r>
    <w:r>
      <w:rPr>
        <w:rStyle w:val="932"/>
      </w:rP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07"/>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0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730"/>
    <w:link w:val="721"/>
    <w:uiPriority w:val="9"/>
    <w:rPr>
      <w:rFonts w:ascii="Arial" w:hAnsi="Arial" w:eastAsia="Arial" w:cs="Arial"/>
      <w:sz w:val="40"/>
      <w:szCs w:val="40"/>
    </w:rPr>
  </w:style>
  <w:style w:type="character" w:styleId="684">
    <w:name w:val="Heading 2 Char"/>
    <w:basedOn w:val="730"/>
    <w:link w:val="722"/>
    <w:uiPriority w:val="9"/>
    <w:rPr>
      <w:rFonts w:ascii="Arial" w:hAnsi="Arial" w:eastAsia="Arial" w:cs="Arial"/>
      <w:sz w:val="34"/>
    </w:rPr>
  </w:style>
  <w:style w:type="character" w:styleId="685">
    <w:name w:val="Heading 3 Char"/>
    <w:basedOn w:val="730"/>
    <w:link w:val="723"/>
    <w:uiPriority w:val="9"/>
    <w:rPr>
      <w:rFonts w:ascii="Arial" w:hAnsi="Arial" w:eastAsia="Arial" w:cs="Arial"/>
      <w:sz w:val="30"/>
      <w:szCs w:val="30"/>
    </w:rPr>
  </w:style>
  <w:style w:type="character" w:styleId="686">
    <w:name w:val="Heading 4 Char"/>
    <w:basedOn w:val="730"/>
    <w:link w:val="724"/>
    <w:uiPriority w:val="9"/>
    <w:rPr>
      <w:rFonts w:ascii="Arial" w:hAnsi="Arial" w:eastAsia="Arial" w:cs="Arial"/>
      <w:b/>
      <w:bCs/>
      <w:sz w:val="26"/>
      <w:szCs w:val="26"/>
    </w:rPr>
  </w:style>
  <w:style w:type="character" w:styleId="687">
    <w:name w:val="Heading 5 Char"/>
    <w:basedOn w:val="730"/>
    <w:link w:val="725"/>
    <w:uiPriority w:val="9"/>
    <w:rPr>
      <w:rFonts w:ascii="Arial" w:hAnsi="Arial" w:eastAsia="Arial" w:cs="Arial"/>
      <w:b/>
      <w:bCs/>
      <w:sz w:val="24"/>
      <w:szCs w:val="24"/>
    </w:rPr>
  </w:style>
  <w:style w:type="character" w:styleId="688">
    <w:name w:val="Heading 6 Char"/>
    <w:basedOn w:val="730"/>
    <w:link w:val="726"/>
    <w:uiPriority w:val="9"/>
    <w:rPr>
      <w:rFonts w:ascii="Arial" w:hAnsi="Arial" w:eastAsia="Arial" w:cs="Arial"/>
      <w:b/>
      <w:bCs/>
      <w:sz w:val="22"/>
      <w:szCs w:val="22"/>
    </w:rPr>
  </w:style>
  <w:style w:type="character" w:styleId="689">
    <w:name w:val="Heading 7 Char"/>
    <w:basedOn w:val="730"/>
    <w:link w:val="727"/>
    <w:uiPriority w:val="9"/>
    <w:rPr>
      <w:rFonts w:ascii="Arial" w:hAnsi="Arial" w:eastAsia="Arial" w:cs="Arial"/>
      <w:b/>
      <w:bCs/>
      <w:i/>
      <w:iCs/>
      <w:sz w:val="22"/>
      <w:szCs w:val="22"/>
    </w:rPr>
  </w:style>
  <w:style w:type="character" w:styleId="690">
    <w:name w:val="Heading 8 Char"/>
    <w:basedOn w:val="730"/>
    <w:link w:val="728"/>
    <w:uiPriority w:val="9"/>
    <w:rPr>
      <w:rFonts w:ascii="Arial" w:hAnsi="Arial" w:eastAsia="Arial" w:cs="Arial"/>
      <w:i/>
      <w:iCs/>
      <w:sz w:val="22"/>
      <w:szCs w:val="22"/>
    </w:rPr>
  </w:style>
  <w:style w:type="character" w:styleId="691">
    <w:name w:val="Heading 9 Char"/>
    <w:basedOn w:val="730"/>
    <w:link w:val="729"/>
    <w:uiPriority w:val="9"/>
    <w:rPr>
      <w:rFonts w:ascii="Arial" w:hAnsi="Arial" w:eastAsia="Arial" w:cs="Arial"/>
      <w:i/>
      <w:iCs/>
      <w:sz w:val="21"/>
      <w:szCs w:val="21"/>
    </w:rPr>
  </w:style>
  <w:style w:type="character" w:styleId="692">
    <w:name w:val="Title Char"/>
    <w:basedOn w:val="730"/>
    <w:link w:val="754"/>
    <w:uiPriority w:val="10"/>
    <w:rPr>
      <w:sz w:val="48"/>
      <w:szCs w:val="48"/>
    </w:rPr>
  </w:style>
  <w:style w:type="character" w:styleId="693">
    <w:name w:val="Subtitle Char"/>
    <w:basedOn w:val="730"/>
    <w:link w:val="748"/>
    <w:uiPriority w:val="11"/>
    <w:rPr>
      <w:sz w:val="24"/>
      <w:szCs w:val="24"/>
    </w:rPr>
  </w:style>
  <w:style w:type="character" w:styleId="694">
    <w:name w:val="Quote Char"/>
    <w:link w:val="772"/>
    <w:uiPriority w:val="29"/>
    <w:rPr>
      <w:i/>
    </w:rPr>
  </w:style>
  <w:style w:type="character" w:styleId="695">
    <w:name w:val="Intense Quote Char"/>
    <w:link w:val="774"/>
    <w:uiPriority w:val="30"/>
    <w:rPr>
      <w:i/>
    </w:rPr>
  </w:style>
  <w:style w:type="character" w:styleId="696">
    <w:name w:val="Header Char"/>
    <w:basedOn w:val="730"/>
    <w:link w:val="745"/>
    <w:uiPriority w:val="99"/>
  </w:style>
  <w:style w:type="character" w:styleId="697">
    <w:name w:val="Caption Char"/>
    <w:basedOn w:val="734"/>
    <w:link w:val="744"/>
    <w:uiPriority w:val="99"/>
  </w:style>
  <w:style w:type="table" w:styleId="698">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7">
    <w:name w:val="Footnote Text Char"/>
    <w:link w:val="749"/>
    <w:uiPriority w:val="99"/>
    <w:rPr>
      <w:sz w:val="18"/>
    </w:rPr>
  </w:style>
  <w:style w:type="character" w:styleId="718">
    <w:name w:val="Endnote Text Char"/>
    <w:link w:val="743"/>
    <w:uiPriority w:val="99"/>
    <w:rPr>
      <w:sz w:val="20"/>
    </w:rPr>
  </w:style>
  <w:style w:type="paragraph" w:styleId="719">
    <w:name w:val="TOC Heading"/>
    <w:uiPriority w:val="39"/>
    <w:unhideWhenUsed/>
  </w:style>
  <w:style w:type="paragraph" w:styleId="7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1">
    <w:name w:val="Heading 1"/>
    <w:basedOn w:val="720"/>
    <w:next w:val="720"/>
    <w:link w:val="759"/>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60"/>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1"/>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2"/>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3"/>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764"/>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6"/>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7"/>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0"/>
    <w:qFormat/>
    <w:pPr>
      <w:ind w:firstLine="420"/>
    </w:pPr>
  </w:style>
  <w:style w:type="paragraph" w:styleId="734">
    <w:name w:val="Caption"/>
    <w:basedOn w:val="720"/>
    <w:next w:val="720"/>
    <w:uiPriority w:val="35"/>
    <w:semiHidden/>
    <w:unhideWhenUsed/>
    <w:qFormat/>
    <w:pPr>
      <w:spacing w:line="276" w:lineRule="auto"/>
    </w:pPr>
    <w:rPr>
      <w:b/>
      <w:bCs/>
      <w:color w:val="4f81bd"/>
      <w:sz w:val="18"/>
      <w:szCs w:val="18"/>
    </w:rPr>
  </w:style>
  <w:style w:type="paragraph" w:styleId="735">
    <w:name w:val="annotation text"/>
    <w:basedOn w:val="720"/>
    <w:uiPriority w:val="99"/>
    <w:unhideWhenUsed/>
    <w:qFormat/>
    <w:rPr>
      <w:lang w:val="zh-CN"/>
    </w:rPr>
  </w:style>
  <w:style w:type="paragraph" w:styleId="736">
    <w:name w:val="Body Text"/>
    <w:basedOn w:val="720"/>
    <w:next w:val="737"/>
    <w:uiPriority w:val="99"/>
    <w:qFormat/>
    <w:pPr>
      <w:ind w:firstLine="425"/>
      <w:spacing w:before="120"/>
    </w:pPr>
    <w:rPr>
      <w:szCs w:val="20"/>
    </w:rPr>
  </w:style>
  <w:style w:type="paragraph" w:styleId="737">
    <w:name w:val="Body Text First Indent"/>
    <w:basedOn w:val="736"/>
    <w:next w:val="720"/>
    <w:uiPriority w:val="0"/>
    <w:qFormat/>
    <w:pPr>
      <w:ind w:firstLine="200"/>
      <w:spacing w:line="360" w:lineRule="auto"/>
    </w:pPr>
    <w:rPr>
      <w:sz w:val="28"/>
      <w:szCs w:val="28"/>
    </w:rPr>
  </w:style>
  <w:style w:type="paragraph" w:styleId="738">
    <w:name w:val="index 4"/>
    <w:basedOn w:val="720"/>
    <w:next w:val="720"/>
    <w:uiPriority w:val="99"/>
    <w:unhideWhenUsed/>
    <w:qFormat/>
    <w:pPr>
      <w:ind w:left="600"/>
    </w:pPr>
  </w:style>
  <w:style w:type="paragraph" w:styleId="739">
    <w:name w:val="toc 5"/>
    <w:basedOn w:val="720"/>
    <w:next w:val="720"/>
    <w:uiPriority w:val="39"/>
    <w:unhideWhenUsed/>
    <w:qFormat/>
    <w:pPr>
      <w:ind w:left="1134"/>
      <w:spacing w:after="57"/>
    </w:pPr>
  </w:style>
  <w:style w:type="paragraph" w:styleId="740">
    <w:name w:val="toc 3"/>
    <w:basedOn w:val="720"/>
    <w:next w:val="720"/>
    <w:uiPriority w:val="39"/>
    <w:unhideWhenUsed/>
    <w:qFormat/>
    <w:pPr>
      <w:ind w:left="567"/>
      <w:spacing w:after="57"/>
    </w:pPr>
  </w:style>
  <w:style w:type="paragraph" w:styleId="741">
    <w:name w:val="Plain Text"/>
    <w:basedOn w:val="720"/>
    <w:next w:val="720"/>
    <w:uiPriority w:val="0"/>
    <w:qFormat/>
    <w:rPr>
      <w:rFonts w:ascii="宋体" w:hAnsi="Courier New"/>
      <w:szCs w:val="20"/>
    </w:rPr>
  </w:style>
  <w:style w:type="paragraph" w:styleId="742">
    <w:name w:val="toc 8"/>
    <w:basedOn w:val="720"/>
    <w:next w:val="720"/>
    <w:uiPriority w:val="39"/>
    <w:unhideWhenUsed/>
    <w:qFormat/>
    <w:pPr>
      <w:ind w:left="1984"/>
      <w:spacing w:after="57"/>
    </w:pPr>
  </w:style>
  <w:style w:type="paragraph" w:styleId="743">
    <w:name w:val="endnote text"/>
    <w:basedOn w:val="720"/>
    <w:link w:val="905"/>
    <w:uiPriority w:val="99"/>
    <w:semiHidden/>
    <w:unhideWhenUsed/>
    <w:qFormat/>
    <w:rPr>
      <w:sz w:val="20"/>
    </w:rPr>
  </w:style>
  <w:style w:type="paragraph" w:styleId="744">
    <w:name w:val="Footer"/>
    <w:basedOn w:val="720"/>
    <w:link w:val="778"/>
    <w:uiPriority w:val="99"/>
    <w:unhideWhenUsed/>
    <w:qFormat/>
    <w:pPr>
      <w:tabs>
        <w:tab w:val="center" w:pos="7143" w:leader="none"/>
        <w:tab w:val="right" w:pos="14287" w:leader="none"/>
      </w:tabs>
    </w:pPr>
  </w:style>
  <w:style w:type="paragraph" w:styleId="745">
    <w:name w:val="Header"/>
    <w:basedOn w:val="720"/>
    <w:link w:val="776"/>
    <w:uiPriority w:val="99"/>
    <w:unhideWhenUsed/>
    <w:qFormat/>
    <w:pPr>
      <w:tabs>
        <w:tab w:val="center" w:pos="7143" w:leader="none"/>
        <w:tab w:val="right" w:pos="14287" w:leader="none"/>
      </w:tabs>
    </w:pPr>
  </w:style>
  <w:style w:type="paragraph" w:styleId="746">
    <w:name w:val="toc 1"/>
    <w:basedOn w:val="720"/>
    <w:next w:val="720"/>
    <w:uiPriority w:val="39"/>
    <w:unhideWhenUsed/>
    <w:qFormat/>
    <w:pPr>
      <w:spacing w:after="57"/>
    </w:pPr>
  </w:style>
  <w:style w:type="paragraph" w:styleId="747">
    <w:name w:val="toc 4"/>
    <w:basedOn w:val="720"/>
    <w:next w:val="720"/>
    <w:uiPriority w:val="39"/>
    <w:unhideWhenUsed/>
    <w:qFormat/>
    <w:pPr>
      <w:ind w:left="850"/>
      <w:spacing w:after="57"/>
    </w:pPr>
  </w:style>
  <w:style w:type="paragraph" w:styleId="748">
    <w:name w:val="Subtitle"/>
    <w:basedOn w:val="720"/>
    <w:next w:val="720"/>
    <w:link w:val="771"/>
    <w:uiPriority w:val="11"/>
    <w:qFormat/>
    <w:pPr>
      <w:spacing w:before="200" w:after="200"/>
    </w:pPr>
    <w:rPr>
      <w:sz w:val="24"/>
    </w:rPr>
  </w:style>
  <w:style w:type="paragraph" w:styleId="749">
    <w:name w:val="footnote text"/>
    <w:basedOn w:val="720"/>
    <w:link w:val="904"/>
    <w:uiPriority w:val="99"/>
    <w:semiHidden/>
    <w:unhideWhenUsed/>
    <w:qFormat/>
    <w:pPr>
      <w:spacing w:after="40"/>
    </w:pPr>
    <w:rPr>
      <w:sz w:val="18"/>
    </w:rPr>
  </w:style>
  <w:style w:type="paragraph" w:styleId="750">
    <w:name w:val="toc 6"/>
    <w:basedOn w:val="720"/>
    <w:next w:val="720"/>
    <w:uiPriority w:val="39"/>
    <w:unhideWhenUsed/>
    <w:qFormat/>
    <w:pPr>
      <w:ind w:left="1417"/>
      <w:spacing w:after="57"/>
    </w:pPr>
  </w:style>
  <w:style w:type="paragraph" w:styleId="751">
    <w:name w:val="table of figures"/>
    <w:basedOn w:val="720"/>
    <w:next w:val="720"/>
    <w:uiPriority w:val="99"/>
    <w:unhideWhenUsed/>
    <w:qFormat/>
  </w:style>
  <w:style w:type="paragraph" w:styleId="752">
    <w:name w:val="toc 2"/>
    <w:basedOn w:val="720"/>
    <w:next w:val="720"/>
    <w:uiPriority w:val="39"/>
    <w:unhideWhenUsed/>
    <w:qFormat/>
    <w:pPr>
      <w:ind w:left="283"/>
      <w:spacing w:after="57"/>
    </w:pPr>
  </w:style>
  <w:style w:type="paragraph" w:styleId="753">
    <w:name w:val="toc 9"/>
    <w:basedOn w:val="720"/>
    <w:next w:val="720"/>
    <w:uiPriority w:val="39"/>
    <w:unhideWhenUsed/>
    <w:qFormat/>
    <w:pPr>
      <w:ind w:left="2268"/>
      <w:spacing w:after="57"/>
    </w:pPr>
  </w:style>
  <w:style w:type="paragraph" w:styleId="754">
    <w:name w:val="Title"/>
    <w:basedOn w:val="720"/>
    <w:next w:val="720"/>
    <w:link w:val="770"/>
    <w:uiPriority w:val="10"/>
    <w:qFormat/>
    <w:pPr>
      <w:contextualSpacing/>
      <w:spacing w:before="300" w:after="200"/>
    </w:pPr>
    <w:rPr>
      <w:sz w:val="48"/>
      <w:szCs w:val="48"/>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u w:val="single"/>
    </w:rPr>
  </w:style>
  <w:style w:type="character" w:styleId="758">
    <w:name w:val="footnote reference"/>
    <w:uiPriority w:val="99"/>
    <w:unhideWhenUsed/>
    <w:qFormat/>
    <w:rPr>
      <w:vertAlign w:val="superscript"/>
    </w:rPr>
  </w:style>
  <w:style w:type="character" w:styleId="759" w:customStyle="1">
    <w:name w:val="标题 1 字符"/>
    <w:link w:val="721"/>
    <w:uiPriority w:val="9"/>
    <w:qFormat/>
    <w:rPr>
      <w:rFonts w:ascii="Arial" w:hAnsi="Arial" w:eastAsia="Arial" w:cs="Arial"/>
      <w:sz w:val="40"/>
      <w:szCs w:val="40"/>
    </w:rPr>
  </w:style>
  <w:style w:type="character" w:styleId="760" w:customStyle="1">
    <w:name w:val="标题 2 字符"/>
    <w:link w:val="722"/>
    <w:uiPriority w:val="9"/>
    <w:qFormat/>
    <w:rPr>
      <w:rFonts w:ascii="Arial" w:hAnsi="Arial" w:eastAsia="Arial" w:cs="Arial"/>
      <w:sz w:val="34"/>
    </w:rPr>
  </w:style>
  <w:style w:type="character" w:styleId="761" w:customStyle="1">
    <w:name w:val="标题 3 字符"/>
    <w:link w:val="723"/>
    <w:uiPriority w:val="9"/>
    <w:qFormat/>
    <w:rPr>
      <w:rFonts w:ascii="Arial" w:hAnsi="Arial" w:eastAsia="Arial" w:cs="Arial"/>
      <w:sz w:val="30"/>
      <w:szCs w:val="30"/>
    </w:rPr>
  </w:style>
  <w:style w:type="character" w:styleId="762" w:customStyle="1">
    <w:name w:val="标题 4 字符"/>
    <w:link w:val="724"/>
    <w:uiPriority w:val="9"/>
    <w:qFormat/>
    <w:rPr>
      <w:rFonts w:ascii="Arial" w:hAnsi="Arial" w:eastAsia="Arial" w:cs="Arial"/>
      <w:b/>
      <w:bCs/>
      <w:sz w:val="26"/>
      <w:szCs w:val="26"/>
    </w:rPr>
  </w:style>
  <w:style w:type="character" w:styleId="763" w:customStyle="1">
    <w:name w:val="标题 5 字符"/>
    <w:link w:val="725"/>
    <w:uiPriority w:val="9"/>
    <w:qFormat/>
    <w:rPr>
      <w:rFonts w:ascii="Arial" w:hAnsi="Arial" w:eastAsia="Arial" w:cs="Arial"/>
      <w:b/>
      <w:bCs/>
      <w:sz w:val="24"/>
      <w:szCs w:val="24"/>
    </w:rPr>
  </w:style>
  <w:style w:type="character" w:styleId="764" w:customStyle="1">
    <w:name w:val="标题 6 字符"/>
    <w:link w:val="726"/>
    <w:uiPriority w:val="9"/>
    <w:qFormat/>
    <w:rPr>
      <w:rFonts w:ascii="Arial" w:hAnsi="Arial" w:eastAsia="Arial" w:cs="Arial"/>
      <w:b/>
      <w:bCs/>
      <w:sz w:val="22"/>
      <w:szCs w:val="22"/>
    </w:rPr>
  </w:style>
  <w:style w:type="character" w:styleId="765" w:customStyle="1">
    <w:name w:val="标题 7 字符"/>
    <w:link w:val="727"/>
    <w:uiPriority w:val="9"/>
    <w:qFormat/>
    <w:rPr>
      <w:rFonts w:ascii="Arial" w:hAnsi="Arial" w:eastAsia="Arial" w:cs="Arial"/>
      <w:b/>
      <w:bCs/>
      <w:i/>
      <w:iCs/>
      <w:sz w:val="22"/>
      <w:szCs w:val="22"/>
    </w:rPr>
  </w:style>
  <w:style w:type="character" w:styleId="766" w:customStyle="1">
    <w:name w:val="标题 8 字符"/>
    <w:link w:val="728"/>
    <w:uiPriority w:val="9"/>
    <w:qFormat/>
    <w:rPr>
      <w:rFonts w:ascii="Arial" w:hAnsi="Arial" w:eastAsia="Arial" w:cs="Arial"/>
      <w:i/>
      <w:iCs/>
      <w:sz w:val="22"/>
      <w:szCs w:val="22"/>
    </w:rPr>
  </w:style>
  <w:style w:type="character" w:styleId="767" w:customStyle="1">
    <w:name w:val="标题 9 字符"/>
    <w:link w:val="729"/>
    <w:uiPriority w:val="9"/>
    <w:qFormat/>
    <w:rPr>
      <w:rFonts w:ascii="Arial" w:hAnsi="Arial" w:eastAsia="Arial" w:cs="Arial"/>
      <w:i/>
      <w:iCs/>
      <w:sz w:val="21"/>
      <w:szCs w:val="21"/>
    </w:rPr>
  </w:style>
  <w:style w:type="paragraph" w:styleId="768">
    <w:name w:val="List Paragraph"/>
    <w:basedOn w:val="720"/>
    <w:uiPriority w:val="34"/>
    <w:qFormat/>
    <w:pPr>
      <w:contextualSpacing/>
      <w:ind w:left="720"/>
    </w:pPr>
  </w:style>
  <w:style w:type="paragraph" w:styleId="769">
    <w:name w:val="No Spacing"/>
    <w:uiPriority w:val="1"/>
    <w:qFormat/>
    <w:rPr>
      <w:rFonts w:ascii="Times New Roman" w:hAnsi="Times New Roman" w:eastAsia="宋体" w:cs="Times New Roman"/>
      <w:lang w:val="en-US" w:eastAsia="zh-CN" w:bidi="ar-SA"/>
    </w:rPr>
  </w:style>
  <w:style w:type="character" w:styleId="770" w:customStyle="1">
    <w:name w:val="标题 字符"/>
    <w:link w:val="754"/>
    <w:uiPriority w:val="10"/>
    <w:qFormat/>
    <w:rPr>
      <w:sz w:val="48"/>
      <w:szCs w:val="48"/>
    </w:rPr>
  </w:style>
  <w:style w:type="character" w:styleId="771" w:customStyle="1">
    <w:name w:val="副标题 字符"/>
    <w:link w:val="748"/>
    <w:uiPriority w:val="11"/>
    <w:qFormat/>
    <w:rPr>
      <w:sz w:val="24"/>
      <w:szCs w:val="24"/>
    </w:rPr>
  </w:style>
  <w:style w:type="paragraph" w:styleId="772">
    <w:name w:val="Quote"/>
    <w:basedOn w:val="720"/>
    <w:next w:val="720"/>
    <w:link w:val="773"/>
    <w:uiPriority w:val="29"/>
    <w:qFormat/>
    <w:pPr>
      <w:ind w:left="720" w:right="720"/>
    </w:pPr>
    <w:rPr>
      <w:i/>
    </w:rPr>
  </w:style>
  <w:style w:type="character" w:styleId="773" w:customStyle="1">
    <w:name w:val="引用 字符"/>
    <w:link w:val="772"/>
    <w:uiPriority w:val="29"/>
    <w:qFormat/>
    <w:rPr>
      <w:i/>
    </w:rPr>
  </w:style>
  <w:style w:type="paragraph" w:styleId="774">
    <w:name w:val="Intense Quote"/>
    <w:basedOn w:val="720"/>
    <w:next w:val="720"/>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字符"/>
    <w:link w:val="774"/>
    <w:uiPriority w:val="30"/>
    <w:qFormat/>
    <w:rPr>
      <w:i/>
    </w:rPr>
  </w:style>
  <w:style w:type="character" w:styleId="776" w:customStyle="1">
    <w:name w:val="页眉 字符"/>
    <w:link w:val="745"/>
    <w:uiPriority w:val="99"/>
    <w:qFormat/>
  </w:style>
  <w:style w:type="character" w:styleId="777" w:customStyle="1">
    <w:name w:val="Footer Char"/>
    <w:uiPriority w:val="99"/>
    <w:qFormat/>
  </w:style>
  <w:style w:type="character" w:styleId="778" w:customStyle="1">
    <w:name w:val="页脚 字符"/>
    <w:link w:val="744"/>
    <w:uiPriority w:val="99"/>
    <w:qFormat/>
  </w:style>
  <w:style w:type="table" w:styleId="77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2" w:customStyle="1">
    <w:name w:val="无格式表格 31"/>
    <w:uiPriority w:val="99"/>
    <w:qFormat/>
    <w:tblPr>
      <w:tblCellMar>
        <w:left w:w="0" w:type="dxa"/>
        <w:top w:w="0" w:type="dxa"/>
        <w:right w:w="0" w:type="dxa"/>
        <w:bottom w:w="0" w:type="dxa"/>
      </w:tblCellMar>
    </w:tblPr>
  </w:style>
  <w:style w:type="table" w:styleId="783" w:customStyle="1">
    <w:name w:val="无格式表格 41"/>
    <w:uiPriority w:val="99"/>
    <w:qFormat/>
    <w:tblPr>
      <w:tblCellMar>
        <w:left w:w="0" w:type="dxa"/>
        <w:top w:w="0" w:type="dxa"/>
        <w:right w:w="0" w:type="dxa"/>
        <w:bottom w:w="0" w:type="dxa"/>
      </w:tblCellMar>
    </w:tblPr>
  </w:style>
  <w:style w:type="table" w:styleId="784" w:customStyle="1">
    <w:name w:val="无格式表格 51"/>
    <w:uiPriority w:val="99"/>
    <w:qFormat/>
    <w:tblPr>
      <w:tblCellMar>
        <w:left w:w="0" w:type="dxa"/>
        <w:top w:w="0" w:type="dxa"/>
        <w:right w:w="0" w:type="dxa"/>
        <w:bottom w:w="0" w:type="dxa"/>
      </w:tblCellMar>
    </w:tblPr>
  </w:style>
  <w:style w:type="table" w:styleId="78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清单表 1 浅色1"/>
    <w:uiPriority w:val="99"/>
    <w:qFormat/>
    <w:tblPr>
      <w:tblCellMar>
        <w:left w:w="0" w:type="dxa"/>
        <w:top w:w="0" w:type="dxa"/>
        <w:right w:w="0" w:type="dxa"/>
        <w:bottom w:w="0" w:type="dxa"/>
      </w:tblCellMar>
    </w:tblPr>
  </w:style>
  <w:style w:type="table" w:styleId="835" w:customStyle="1">
    <w:name w:val="List Table 1 Light - Accent 1"/>
    <w:uiPriority w:val="99"/>
    <w:qFormat/>
    <w:tblPr>
      <w:tblCellMar>
        <w:left w:w="0" w:type="dxa"/>
        <w:top w:w="0" w:type="dxa"/>
        <w:right w:w="0" w:type="dxa"/>
        <w:bottom w:w="0" w:type="dxa"/>
      </w:tblCellMar>
    </w:tblPr>
  </w:style>
  <w:style w:type="table" w:styleId="836" w:customStyle="1">
    <w:name w:val="List Table 1 Light - Accent 2"/>
    <w:uiPriority w:val="99"/>
    <w:qFormat/>
    <w:tblPr>
      <w:tblCellMar>
        <w:left w:w="0" w:type="dxa"/>
        <w:top w:w="0" w:type="dxa"/>
        <w:right w:w="0" w:type="dxa"/>
        <w:bottom w:w="0" w:type="dxa"/>
      </w:tblCellMar>
    </w:tblPr>
  </w:style>
  <w:style w:type="table" w:styleId="837" w:customStyle="1">
    <w:name w:val="List Table 1 Light - Accent 3"/>
    <w:uiPriority w:val="99"/>
    <w:qFormat/>
    <w:tblPr>
      <w:tblCellMar>
        <w:left w:w="0" w:type="dxa"/>
        <w:top w:w="0" w:type="dxa"/>
        <w:right w:w="0" w:type="dxa"/>
        <w:bottom w:w="0" w:type="dxa"/>
      </w:tblCellMar>
    </w:tblPr>
  </w:style>
  <w:style w:type="table" w:styleId="838" w:customStyle="1">
    <w:name w:val="List Table 1 Light - Accent 4"/>
    <w:uiPriority w:val="99"/>
    <w:qFormat/>
    <w:tblPr>
      <w:tblCellMar>
        <w:left w:w="0" w:type="dxa"/>
        <w:top w:w="0" w:type="dxa"/>
        <w:right w:w="0" w:type="dxa"/>
        <w:bottom w:w="0" w:type="dxa"/>
      </w:tblCellMar>
    </w:tblPr>
  </w:style>
  <w:style w:type="table" w:styleId="839" w:customStyle="1">
    <w:name w:val="List Table 1 Light - Accent 5"/>
    <w:uiPriority w:val="99"/>
    <w:qFormat/>
    <w:tblPr>
      <w:tblCellMar>
        <w:left w:w="0" w:type="dxa"/>
        <w:top w:w="0" w:type="dxa"/>
        <w:right w:w="0" w:type="dxa"/>
        <w:bottom w:w="0" w:type="dxa"/>
      </w:tblCellMar>
    </w:tblPr>
  </w:style>
  <w:style w:type="table" w:styleId="840" w:customStyle="1">
    <w:name w:val="List Table 1 Light - Accent 6"/>
    <w:uiPriority w:val="99"/>
    <w:qFormat/>
    <w:tblPr>
      <w:tblCellMar>
        <w:left w:w="0" w:type="dxa"/>
        <w:top w:w="0" w:type="dxa"/>
        <w:right w:w="0" w:type="dxa"/>
        <w:bottom w:w="0" w:type="dxa"/>
      </w:tblCellMar>
    </w:tblPr>
  </w:style>
  <w:style w:type="table" w:styleId="84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3" w:customStyle="1">
    <w:name w:val="Lined - Accent"/>
    <w:uiPriority w:val="99"/>
    <w:qFormat/>
    <w:rPr>
      <w:color w:val="404040"/>
    </w:rPr>
    <w:tblPr>
      <w:tblCellMar>
        <w:left w:w="0" w:type="dxa"/>
        <w:top w:w="0" w:type="dxa"/>
        <w:right w:w="0" w:type="dxa"/>
        <w:bottom w:w="0" w:type="dxa"/>
      </w:tblCellMar>
    </w:tblPr>
  </w:style>
  <w:style w:type="table" w:styleId="884" w:customStyle="1">
    <w:name w:val="Lined - Accent 1"/>
    <w:uiPriority w:val="99"/>
    <w:qFormat/>
    <w:rPr>
      <w:color w:val="404040"/>
    </w:rPr>
    <w:tblPr>
      <w:tblCellMar>
        <w:left w:w="0" w:type="dxa"/>
        <w:top w:w="0" w:type="dxa"/>
        <w:right w:w="0" w:type="dxa"/>
        <w:bottom w:w="0" w:type="dxa"/>
      </w:tblCellMar>
    </w:tblPr>
  </w:style>
  <w:style w:type="table" w:styleId="885" w:customStyle="1">
    <w:name w:val="Lined - Accent 2"/>
    <w:uiPriority w:val="99"/>
    <w:qFormat/>
    <w:rPr>
      <w:color w:val="404040"/>
    </w:rPr>
    <w:tblPr>
      <w:tblCellMar>
        <w:left w:w="0" w:type="dxa"/>
        <w:top w:w="0" w:type="dxa"/>
        <w:right w:w="0" w:type="dxa"/>
        <w:bottom w:w="0" w:type="dxa"/>
      </w:tblCellMar>
    </w:tblPr>
  </w:style>
  <w:style w:type="table" w:styleId="886" w:customStyle="1">
    <w:name w:val="Lined - Accent 3"/>
    <w:uiPriority w:val="99"/>
    <w:qFormat/>
    <w:rPr>
      <w:color w:val="404040"/>
    </w:rPr>
    <w:tblPr>
      <w:tblCellMar>
        <w:left w:w="0" w:type="dxa"/>
        <w:top w:w="0" w:type="dxa"/>
        <w:right w:w="0" w:type="dxa"/>
        <w:bottom w:w="0" w:type="dxa"/>
      </w:tblCellMar>
    </w:tblPr>
  </w:style>
  <w:style w:type="table" w:styleId="887" w:customStyle="1">
    <w:name w:val="Lined - Accent 4"/>
    <w:uiPriority w:val="99"/>
    <w:qFormat/>
    <w:rPr>
      <w:color w:val="404040"/>
    </w:rPr>
    <w:tblPr>
      <w:tblCellMar>
        <w:left w:w="0" w:type="dxa"/>
        <w:top w:w="0" w:type="dxa"/>
        <w:right w:w="0" w:type="dxa"/>
        <w:bottom w:w="0" w:type="dxa"/>
      </w:tblCellMar>
    </w:tblPr>
  </w:style>
  <w:style w:type="table" w:styleId="888" w:customStyle="1">
    <w:name w:val="Lined - Accent 5"/>
    <w:uiPriority w:val="99"/>
    <w:qFormat/>
    <w:rPr>
      <w:color w:val="404040"/>
    </w:rPr>
    <w:tblPr>
      <w:tblCellMar>
        <w:left w:w="0" w:type="dxa"/>
        <w:top w:w="0" w:type="dxa"/>
        <w:right w:w="0" w:type="dxa"/>
        <w:bottom w:w="0" w:type="dxa"/>
      </w:tblCellMar>
    </w:tblPr>
  </w:style>
  <w:style w:type="table" w:styleId="889" w:customStyle="1">
    <w:name w:val="Lined - Accent 6"/>
    <w:uiPriority w:val="99"/>
    <w:qFormat/>
    <w:rPr>
      <w:color w:val="404040"/>
    </w:rPr>
    <w:tblPr>
      <w:tblCellMar>
        <w:left w:w="0" w:type="dxa"/>
        <w:top w:w="0" w:type="dxa"/>
        <w:right w:w="0" w:type="dxa"/>
        <w:bottom w:w="0" w:type="dxa"/>
      </w:tblCellMar>
    </w:tblPr>
  </w:style>
  <w:style w:type="table" w:styleId="89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4" w:customStyle="1">
    <w:name w:val="脚注文本 字符"/>
    <w:link w:val="749"/>
    <w:uiPriority w:val="99"/>
    <w:qFormat/>
    <w:rPr>
      <w:sz w:val="18"/>
    </w:rPr>
  </w:style>
  <w:style w:type="character" w:styleId="905" w:customStyle="1">
    <w:name w:val="尾注文本 字符"/>
    <w:link w:val="743"/>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paragraph" w:styleId="907" w:customStyle="1">
    <w:name w:val="标题 11"/>
    <w:basedOn w:val="720"/>
    <w:next w:val="72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08" w:customStyle="1">
    <w:name w:val="标题 31"/>
    <w:basedOn w:val="720"/>
    <w:next w:val="909"/>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09" w:customStyle="1">
    <w:name w:val="正文缩进1"/>
    <w:basedOn w:val="720"/>
    <w:link w:val="912"/>
    <w:uiPriority w:val="0"/>
    <w:qFormat/>
    <w:pPr>
      <w:ind w:firstLine="420"/>
    </w:pPr>
  </w:style>
  <w:style w:type="character" w:styleId="910" w:customStyle="1">
    <w:name w:val="默认段落字体1"/>
    <w:uiPriority w:val="0"/>
    <w:semiHidden/>
    <w:qFormat/>
  </w:style>
  <w:style w:type="table" w:styleId="911" w:customStyle="1">
    <w:name w:val="普通表格1"/>
    <w:uiPriority w:val="0"/>
    <w:semiHidden/>
    <w:qFormat/>
    <w:tblPr>
      <w:tblCellMar>
        <w:left w:w="0" w:type="dxa"/>
        <w:top w:w="0" w:type="dxa"/>
        <w:right w:w="0" w:type="dxa"/>
        <w:bottom w:w="0" w:type="dxa"/>
      </w:tblCellMar>
    </w:tblPr>
  </w:style>
  <w:style w:type="character" w:styleId="912" w:customStyle="1">
    <w:name w:val="正文缩进 Char"/>
    <w:link w:val="909"/>
    <w:uiPriority w:val="0"/>
    <w:qFormat/>
    <w:rPr>
      <w:sz w:val="21"/>
      <w:szCs w:val="24"/>
    </w:rPr>
  </w:style>
  <w:style w:type="paragraph" w:styleId="913" w:customStyle="1">
    <w:name w:val="文档结构图1"/>
    <w:basedOn w:val="720"/>
    <w:uiPriority w:val="0"/>
    <w:semiHidden/>
    <w:qFormat/>
    <w:pPr>
      <w:shd w:val="clear" w:color="auto" w:fill="000080"/>
    </w:pPr>
  </w:style>
  <w:style w:type="paragraph" w:styleId="914" w:customStyle="1">
    <w:name w:val="正文文本 31"/>
    <w:basedOn w:val="720"/>
    <w:uiPriority w:val="0"/>
    <w:qFormat/>
    <w:pPr>
      <w:jc w:val="center"/>
    </w:pPr>
    <w:rPr>
      <w:rFonts w:eastAsia="黑体"/>
      <w:sz w:val="72"/>
    </w:rPr>
  </w:style>
  <w:style w:type="paragraph" w:styleId="915" w:customStyle="1">
    <w:name w:val="正文文本1"/>
    <w:basedOn w:val="720"/>
    <w:uiPriority w:val="0"/>
    <w:qFormat/>
    <w:pPr>
      <w:jc w:val="center"/>
    </w:pPr>
    <w:rPr>
      <w:rFonts w:eastAsia="仿宋_GB2312"/>
      <w:sz w:val="28"/>
    </w:rPr>
  </w:style>
  <w:style w:type="paragraph" w:styleId="916" w:customStyle="1">
    <w:name w:val="正文文本缩进1"/>
    <w:basedOn w:val="720"/>
    <w:link w:val="917"/>
    <w:uiPriority w:val="0"/>
    <w:qFormat/>
    <w:pPr>
      <w:ind w:left="420"/>
      <w:spacing w:after="120"/>
    </w:pPr>
  </w:style>
  <w:style w:type="character" w:styleId="917" w:customStyle="1">
    <w:name w:val="正文文本缩进 Char"/>
    <w:link w:val="916"/>
    <w:uiPriority w:val="0"/>
    <w:qFormat/>
    <w:rPr>
      <w:sz w:val="21"/>
      <w:szCs w:val="24"/>
    </w:rPr>
  </w:style>
  <w:style w:type="paragraph" w:styleId="918" w:customStyle="1">
    <w:name w:val="文本块1"/>
    <w:basedOn w:val="720"/>
    <w:uiPriority w:val="0"/>
    <w:qFormat/>
    <w:pPr>
      <w:ind w:left="420" w:right="33"/>
      <w:jc w:val="left"/>
    </w:pPr>
    <w:rPr>
      <w:sz w:val="24"/>
      <w:szCs w:val="20"/>
    </w:rPr>
  </w:style>
  <w:style w:type="paragraph" w:styleId="919" w:customStyle="1">
    <w:name w:val="纯文本1"/>
    <w:basedOn w:val="720"/>
    <w:link w:val="920"/>
    <w:uiPriority w:val="0"/>
    <w:qFormat/>
    <w:rPr>
      <w:rFonts w:ascii="宋体" w:hAnsi="Courier New"/>
      <w:szCs w:val="20"/>
    </w:rPr>
  </w:style>
  <w:style w:type="character" w:styleId="920" w:customStyle="1">
    <w:name w:val="纯文本 Char"/>
    <w:link w:val="919"/>
    <w:uiPriority w:val="0"/>
    <w:qFormat/>
    <w:rPr>
      <w:rFonts w:ascii="宋体" w:hAnsi="Courier New" w:eastAsia="宋体"/>
      <w:sz w:val="21"/>
      <w:lang w:val="en-US" w:eastAsia="zh-CN" w:bidi="ar-SA"/>
    </w:rPr>
  </w:style>
  <w:style w:type="paragraph" w:styleId="921" w:customStyle="1">
    <w:name w:val="日期1"/>
    <w:basedOn w:val="720"/>
    <w:next w:val="720"/>
    <w:uiPriority w:val="0"/>
    <w:qFormat/>
    <w:pPr>
      <w:ind w:left="100"/>
    </w:pPr>
    <w:rPr>
      <w:rFonts w:ascii="黑体" w:eastAsia="黑体"/>
      <w:sz w:val="72"/>
    </w:rPr>
  </w:style>
  <w:style w:type="paragraph" w:styleId="922" w:customStyle="1">
    <w:name w:val="正文文本缩进 21"/>
    <w:basedOn w:val="720"/>
    <w:uiPriority w:val="0"/>
    <w:qFormat/>
    <w:pPr>
      <w:ind w:right="-2" w:firstLine="540"/>
      <w:tabs>
        <w:tab w:val="left" w:pos="9741" w:leader="none"/>
      </w:tabs>
    </w:pPr>
    <w:rPr>
      <w:rFonts w:eastAsia="仿宋_GB2312"/>
      <w:sz w:val="28"/>
    </w:rPr>
  </w:style>
  <w:style w:type="paragraph" w:styleId="923" w:customStyle="1">
    <w:name w:val="批注框文本1"/>
    <w:basedOn w:val="720"/>
    <w:uiPriority w:val="0"/>
    <w:semiHidden/>
    <w:qFormat/>
    <w:rPr>
      <w:sz w:val="18"/>
      <w:szCs w:val="18"/>
    </w:rPr>
  </w:style>
  <w:style w:type="paragraph" w:styleId="924" w:customStyle="1">
    <w:name w:val="页脚1"/>
    <w:basedOn w:val="720"/>
    <w:uiPriority w:val="0"/>
    <w:qFormat/>
    <w:pPr>
      <w:jc w:val="left"/>
      <w:tabs>
        <w:tab w:val="center" w:pos="4153" w:leader="none"/>
        <w:tab w:val="right" w:pos="8306" w:leader="none"/>
      </w:tabs>
    </w:pPr>
    <w:rPr>
      <w:sz w:val="18"/>
      <w:szCs w:val="18"/>
    </w:rPr>
  </w:style>
  <w:style w:type="paragraph" w:styleId="925" w:customStyle="1">
    <w:name w:val="页眉1"/>
    <w:basedOn w:val="720"/>
    <w:uiPriority w:val="0"/>
    <w:qFormat/>
    <w:pPr>
      <w:jc w:val="center"/>
      <w:tabs>
        <w:tab w:val="center" w:pos="4153" w:leader="none"/>
        <w:tab w:val="right" w:pos="8306" w:leader="none"/>
      </w:tabs>
      <w:pBdr>
        <w:bottom w:val="single" w:color="000000" w:sz="6" w:space="1"/>
      </w:pBdr>
    </w:pPr>
    <w:rPr>
      <w:sz w:val="18"/>
      <w:szCs w:val="18"/>
    </w:rPr>
  </w:style>
  <w:style w:type="paragraph" w:styleId="926" w:customStyle="1">
    <w:name w:val="正文文本缩进 31"/>
    <w:basedOn w:val="720"/>
    <w:uiPriority w:val="0"/>
    <w:qFormat/>
    <w:pPr>
      <w:ind w:firstLine="435"/>
    </w:pPr>
    <w:rPr>
      <w:rFonts w:ascii="仿宋_GB2312" w:hAnsi="宋体" w:eastAsia="仿宋_GB2312"/>
      <w:sz w:val="28"/>
    </w:rPr>
  </w:style>
  <w:style w:type="paragraph" w:styleId="927" w:customStyle="1">
    <w:name w:val="正文文本 21"/>
    <w:basedOn w:val="720"/>
    <w:uiPriority w:val="0"/>
    <w:qFormat/>
    <w:rPr>
      <w:rFonts w:ascii="仿宋_GB2312" w:eastAsia="仿宋_GB2312"/>
      <w:sz w:val="28"/>
    </w:rPr>
  </w:style>
  <w:style w:type="paragraph" w:styleId="928" w:customStyle="1">
    <w:name w:val="普通(网站)1"/>
    <w:basedOn w:val="720"/>
    <w:uiPriority w:val="99"/>
    <w:unhideWhenUsed/>
    <w:qFormat/>
    <w:pPr>
      <w:jc w:val="left"/>
      <w:spacing w:before="100" w:beforeAutospacing="1" w:after="100" w:afterAutospacing="1"/>
    </w:pPr>
    <w:rPr>
      <w:sz w:val="24"/>
      <w:szCs w:val="20"/>
    </w:rPr>
  </w:style>
  <w:style w:type="paragraph" w:styleId="929" w:customStyle="1">
    <w:name w:val="正文首行缩进 21"/>
    <w:basedOn w:val="916"/>
    <w:link w:val="930"/>
    <w:uiPriority w:val="0"/>
    <w:qFormat/>
    <w:pPr>
      <w:ind w:firstLine="420"/>
    </w:pPr>
  </w:style>
  <w:style w:type="character" w:styleId="930" w:customStyle="1">
    <w:name w:val="正文首行缩进 2 Char"/>
    <w:basedOn w:val="917"/>
    <w:link w:val="929"/>
    <w:uiPriority w:val="0"/>
    <w:qFormat/>
    <w:rPr>
      <w:sz w:val="21"/>
      <w:szCs w:val="24"/>
    </w:rPr>
  </w:style>
  <w:style w:type="table" w:styleId="931" w:customStyle="1">
    <w:name w:val="网格型1"/>
    <w:basedOn w:val="911"/>
    <w:uiPriority w:val="0"/>
    <w:qFormat/>
    <w:rPr>
      <w:rFonts w:ascii="Calibri" w:hAnsi="Calibri" w:cs="Calibri"/>
      <w:sz w:val="21"/>
      <w:szCs w:val="22"/>
    </w:rPr>
    <w:tblPr/>
  </w:style>
  <w:style w:type="character" w:styleId="932" w:customStyle="1">
    <w:name w:val="页码1"/>
    <w:uiPriority w:val="0"/>
    <w:qFormat/>
  </w:style>
  <w:style w:type="character" w:styleId="933" w:customStyle="1">
    <w:name w:val="已访问的超链接1"/>
    <w:uiPriority w:val="0"/>
    <w:qFormat/>
    <w:rPr>
      <w:color w:val="800080"/>
      <w:u w:val="single"/>
    </w:rPr>
  </w:style>
  <w:style w:type="character" w:styleId="934" w:customStyle="1">
    <w:name w:val="超链接1"/>
    <w:uiPriority w:val="0"/>
    <w:qFormat/>
    <w:rPr>
      <w:color w:val="0000ff"/>
      <w:u w:val="single"/>
    </w:rPr>
  </w:style>
  <w:style w:type="character" w:styleId="935" w:customStyle="1">
    <w:name w:val="纯文本 Char1"/>
    <w:uiPriority w:val="0"/>
    <w:qFormat/>
    <w:rPr>
      <w:rFonts w:ascii="宋体" w:hAnsi="Courier New"/>
      <w:sz w:val="21"/>
    </w:rPr>
  </w:style>
  <w:style w:type="paragraph" w:styleId="936" w:customStyle="1">
    <w:name w:val="font6"/>
    <w:basedOn w:val="720"/>
    <w:uiPriority w:val="0"/>
    <w:qFormat/>
    <w:pPr>
      <w:jc w:val="left"/>
      <w:spacing w:before="100" w:beforeAutospacing="1" w:after="100" w:afterAutospacing="1"/>
      <w:widowControl/>
    </w:pPr>
    <w:rPr>
      <w:rFonts w:eastAsia="Arial Unicode MS"/>
      <w:sz w:val="18"/>
      <w:szCs w:val="18"/>
    </w:rPr>
  </w:style>
  <w:style w:type="paragraph" w:styleId="937" w:customStyle="1">
    <w:name w:val="列出段落1"/>
    <w:basedOn w:val="720"/>
    <w:uiPriority w:val="99"/>
    <w:qFormat/>
    <w:pPr>
      <w:ind w:firstLine="420"/>
    </w:pPr>
  </w:style>
  <w:style w:type="paragraph" w:styleId="938" w:customStyle="1">
    <w:name w:val="xl43"/>
    <w:basedOn w:val="720"/>
    <w:uiPriority w:val="0"/>
    <w:qFormat/>
    <w:pPr>
      <w:jc w:val="left"/>
      <w:spacing w:before="100" w:beforeAutospacing="1" w:after="100" w:afterAutospacing="1"/>
      <w:widowControl/>
    </w:pPr>
    <w:rPr>
      <w:rFonts w:ascii="Arial Unicode MS" w:hAnsi="Arial Unicode MS" w:eastAsia="Arial Unicode MS"/>
      <w:sz w:val="24"/>
    </w:rPr>
  </w:style>
  <w:style w:type="paragraph" w:styleId="939" w:customStyle="1">
    <w:name w:val="xl68"/>
    <w:basedOn w:val="72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0" w:customStyle="1">
    <w:name w:val="xl53"/>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41" w:customStyle="1">
    <w:name w:val="xl2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46"/>
    <w:basedOn w:val="72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39"/>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customStyle="1">
    <w:name w:val="xl59"/>
    <w:basedOn w:val="72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customStyle="1">
    <w:name w:val="xl33"/>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6" w:customStyle="1">
    <w:name w:val="xl86"/>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font7"/>
    <w:basedOn w:val="720"/>
    <w:uiPriority w:val="0"/>
    <w:qFormat/>
    <w:pPr>
      <w:jc w:val="left"/>
      <w:spacing w:before="100" w:beforeAutospacing="1" w:after="100" w:afterAutospacing="1"/>
      <w:widowControl/>
    </w:pPr>
    <w:rPr>
      <w:rFonts w:eastAsia="Arial Unicode MS"/>
      <w:sz w:val="18"/>
      <w:szCs w:val="18"/>
    </w:rPr>
  </w:style>
  <w:style w:type="paragraph" w:styleId="948" w:customStyle="1">
    <w:name w:val="Char Char Char Char"/>
    <w:basedOn w:val="913"/>
    <w:uiPriority w:val="0"/>
    <w:qFormat/>
    <w:pPr>
      <w:spacing w:line="360" w:lineRule="auto"/>
    </w:pPr>
    <w:rPr>
      <w:rFonts w:ascii="Tahoma" w:hAnsi="Tahoma"/>
      <w:sz w:val="24"/>
    </w:rPr>
  </w:style>
  <w:style w:type="paragraph" w:styleId="949" w:customStyle="1">
    <w:name w:val="xl67"/>
    <w:basedOn w:val="72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0" w:customStyle="1">
    <w:name w:val="xl45"/>
    <w:basedOn w:val="72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1" w:customStyle="1">
    <w:name w:val="xl72"/>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53" w:customStyle="1">
    <w:name w:val="xl60"/>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4" w:customStyle="1">
    <w:name w:val="xl84"/>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5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56" w:customStyle="1">
    <w:name w:val="xl69"/>
    <w:basedOn w:val="72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font12"/>
    <w:basedOn w:val="720"/>
    <w:uiPriority w:val="0"/>
    <w:qFormat/>
    <w:pPr>
      <w:jc w:val="left"/>
      <w:spacing w:before="100" w:beforeAutospacing="1" w:after="100" w:afterAutospacing="1"/>
      <w:widowControl/>
    </w:pPr>
    <w:rPr>
      <w:rFonts w:eastAsia="Arial Unicode MS"/>
      <w:color w:val="333333"/>
      <w:sz w:val="18"/>
      <w:szCs w:val="18"/>
    </w:rPr>
  </w:style>
  <w:style w:type="paragraph" w:styleId="958" w:customStyle="1">
    <w:name w:val="font8"/>
    <w:basedOn w:val="720"/>
    <w:uiPriority w:val="0"/>
    <w:qFormat/>
    <w:pPr>
      <w:jc w:val="left"/>
      <w:spacing w:before="100" w:beforeAutospacing="1" w:after="100" w:afterAutospacing="1"/>
      <w:widowControl/>
    </w:pPr>
    <w:rPr>
      <w:rFonts w:eastAsia="Arial Unicode MS"/>
      <w:sz w:val="18"/>
      <w:szCs w:val="18"/>
    </w:rPr>
  </w:style>
  <w:style w:type="paragraph" w:styleId="959" w:customStyle="1">
    <w:name w:val="xl47"/>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60"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961" w:customStyle="1">
    <w:name w:val="xl74"/>
    <w:basedOn w:val="72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xl77"/>
    <w:basedOn w:val="72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3" w:customStyle="1">
    <w:name w:val="xl71"/>
    <w:basedOn w:val="72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4" w:customStyle="1">
    <w:name w:val="xl75"/>
    <w:basedOn w:val="72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65" w:customStyle="1">
    <w:name w:val="xl38"/>
    <w:basedOn w:val="72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6" w:customStyle="1">
    <w:name w:val="xl51"/>
    <w:basedOn w:val="72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67" w:customStyle="1">
    <w:name w:val="xl78"/>
    <w:basedOn w:val="72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8" w:customStyle="1">
    <w:name w:val="普通正文"/>
    <w:basedOn w:val="720"/>
    <w:uiPriority w:val="0"/>
    <w:qFormat/>
    <w:pPr>
      <w:ind w:firstLine="480"/>
      <w:jc w:val="left"/>
      <w:spacing w:before="120" w:after="120" w:line="360" w:lineRule="auto"/>
    </w:pPr>
    <w:rPr>
      <w:rFonts w:ascii="Arial" w:hAnsi="Arial"/>
      <w:sz w:val="24"/>
    </w:rPr>
  </w:style>
  <w:style w:type="paragraph" w:styleId="969" w:customStyle="1">
    <w:name w:val="Char"/>
    <w:basedOn w:val="720"/>
    <w:uiPriority w:val="0"/>
    <w:qFormat/>
    <w:pPr>
      <w:tabs>
        <w:tab w:val="left" w:pos="360" w:leader="none"/>
      </w:tabs>
    </w:pPr>
    <w:rPr>
      <w:sz w:val="24"/>
    </w:rPr>
  </w:style>
  <w:style w:type="paragraph" w:styleId="970" w:customStyle="1">
    <w:name w:val="xl85"/>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71" w:customStyle="1">
    <w:name w:val="xl81"/>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72" w:customStyle="1">
    <w:name w:val="xl56"/>
    <w:basedOn w:val="72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3" w:customStyle="1">
    <w:name w:val="xl63"/>
    <w:basedOn w:val="72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74" w:customStyle="1">
    <w:name w:val="font10"/>
    <w:basedOn w:val="720"/>
    <w:uiPriority w:val="0"/>
    <w:qFormat/>
    <w:pPr>
      <w:jc w:val="left"/>
      <w:spacing w:before="100" w:beforeAutospacing="1" w:after="100" w:afterAutospacing="1"/>
      <w:widowControl/>
    </w:pPr>
    <w:rPr>
      <w:rFonts w:eastAsia="Arial Unicode MS"/>
      <w:sz w:val="18"/>
      <w:szCs w:val="18"/>
    </w:rPr>
  </w:style>
  <w:style w:type="paragraph" w:styleId="975" w:customStyle="1">
    <w:name w:val="xl62"/>
    <w:basedOn w:val="7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32"/>
    <w:basedOn w:val="72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7" w:customStyle="1">
    <w:name w:val="xl37"/>
    <w:basedOn w:val="72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8" w:customStyle="1">
    <w:name w:val="xl54"/>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9" w:customStyle="1">
    <w:name w:val="font11"/>
    <w:basedOn w:val="720"/>
    <w:uiPriority w:val="0"/>
    <w:qFormat/>
    <w:pPr>
      <w:jc w:val="left"/>
      <w:spacing w:before="100" w:beforeAutospacing="1" w:after="100" w:afterAutospacing="1"/>
      <w:widowControl/>
    </w:pPr>
    <w:rPr>
      <w:rFonts w:hint="eastAsia" w:ascii="宋体" w:hAnsi="宋体"/>
      <w:color w:val="333333"/>
      <w:sz w:val="18"/>
      <w:szCs w:val="18"/>
    </w:rPr>
  </w:style>
  <w:style w:type="paragraph" w:styleId="980" w:customStyle="1">
    <w:name w:val="xl79"/>
    <w:basedOn w:val="72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81" w:customStyle="1">
    <w:name w:val="xl42"/>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82" w:customStyle="1">
    <w:name w:val="xl73"/>
    <w:basedOn w:val="72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3" w:customStyle="1">
    <w:name w:val="xl36"/>
    <w:basedOn w:val="72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4" w:customStyle="1">
    <w:name w:val="xl44"/>
    <w:basedOn w:val="720"/>
    <w:uiPriority w:val="0"/>
    <w:qFormat/>
    <w:pPr>
      <w:jc w:val="right"/>
      <w:spacing w:before="100" w:beforeAutospacing="1" w:after="100" w:afterAutospacing="1"/>
      <w:widowControl/>
    </w:pPr>
    <w:rPr>
      <w:rFonts w:ascii="Arial Unicode MS" w:hAnsi="Arial Unicode MS" w:eastAsia="Arial Unicode MS"/>
      <w:sz w:val="24"/>
    </w:rPr>
  </w:style>
  <w:style w:type="paragraph" w:styleId="985" w:customStyle="1">
    <w:name w:val="xl35"/>
    <w:basedOn w:val="72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Char Char Char Char Char 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987" w:customStyle="1">
    <w:name w:val="xl64"/>
    <w:basedOn w:val="72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8" w:customStyle="1">
    <w:name w:val="xl41"/>
    <w:basedOn w:val="7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9" w:customStyle="1">
    <w:name w:val="xl52"/>
    <w:basedOn w:val="7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90" w:customStyle="1">
    <w:name w:val="xl80"/>
    <w:basedOn w:val="72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91" w:customStyle="1">
    <w:name w:val="xl31"/>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2" w:customStyle="1">
    <w:name w:val="xl30"/>
    <w:basedOn w:val="72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9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94" w:customStyle="1">
    <w:name w:val="xl34"/>
    <w:basedOn w:val="72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5" w:customStyle="1">
    <w:name w:val="Char1"/>
    <w:basedOn w:val="913"/>
    <w:uiPriority w:val="0"/>
    <w:qFormat/>
    <w:pPr>
      <w:spacing w:line="360" w:lineRule="auto"/>
    </w:pPr>
    <w:rPr>
      <w:rFonts w:ascii="Tahoma" w:hAnsi="Tahoma"/>
      <w:sz w:val="24"/>
    </w:rPr>
  </w:style>
  <w:style w:type="paragraph" w:styleId="996" w:customStyle="1">
    <w:name w:val="font9"/>
    <w:basedOn w:val="720"/>
    <w:uiPriority w:val="0"/>
    <w:qFormat/>
    <w:pPr>
      <w:jc w:val="left"/>
      <w:spacing w:before="100" w:beforeAutospacing="1" w:after="100" w:afterAutospacing="1"/>
      <w:widowControl/>
    </w:pPr>
    <w:rPr>
      <w:rFonts w:eastAsia="Arial Unicode MS"/>
      <w:b/>
      <w:bCs/>
      <w:color w:val="000000"/>
      <w:sz w:val="18"/>
      <w:szCs w:val="18"/>
    </w:rPr>
  </w:style>
  <w:style w:type="paragraph" w:styleId="997" w:customStyle="1">
    <w:name w:val="xl58"/>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8" w:customStyle="1">
    <w:name w:val="xl70"/>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9" w:customStyle="1">
    <w:name w:val="xl28"/>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customStyle="1">
    <w:name w:val="xl48"/>
    <w:basedOn w:val="72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01" w:customStyle="1">
    <w:name w:val="font5"/>
    <w:basedOn w:val="720"/>
    <w:uiPriority w:val="0"/>
    <w:qFormat/>
    <w:pPr>
      <w:jc w:val="left"/>
      <w:spacing w:before="100" w:beforeAutospacing="1" w:after="100" w:afterAutospacing="1"/>
      <w:widowControl/>
    </w:pPr>
    <w:rPr>
      <w:rFonts w:hint="eastAsia" w:ascii="宋体" w:hAnsi="宋体"/>
      <w:sz w:val="18"/>
      <w:szCs w:val="18"/>
    </w:rPr>
  </w:style>
  <w:style w:type="paragraph" w:styleId="1002" w:customStyle="1">
    <w:name w:val="默认段落字体 Para Char Char Char Char Char Char Char Char Char1 Char Char Char Char Char Char Char"/>
    <w:basedOn w:val="913"/>
    <w:uiPriority w:val="0"/>
    <w:qFormat/>
    <w:rPr>
      <w:rFonts w:ascii="Tahoma" w:hAnsi="Tahoma"/>
      <w:sz w:val="24"/>
    </w:rPr>
  </w:style>
  <w:style w:type="paragraph" w:styleId="1003" w:customStyle="1">
    <w:name w:val="xl6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4" w:customStyle="1">
    <w:name w:val="font13"/>
    <w:basedOn w:val="720"/>
    <w:uiPriority w:val="0"/>
    <w:qFormat/>
    <w:pPr>
      <w:jc w:val="left"/>
      <w:spacing w:before="100" w:beforeAutospacing="1" w:after="100" w:afterAutospacing="1"/>
      <w:widowControl/>
    </w:pPr>
    <w:rPr>
      <w:rFonts w:eastAsia="Arial Unicode MS"/>
      <w:b/>
      <w:bCs/>
      <w:sz w:val="18"/>
      <w:szCs w:val="18"/>
    </w:rPr>
  </w:style>
  <w:style w:type="paragraph" w:styleId="1005" w:customStyle="1">
    <w:name w:val="xl83"/>
    <w:basedOn w:val="72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6" w:customStyle="1">
    <w:name w:val="xl61"/>
    <w:basedOn w:val="72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7" w:customStyle="1">
    <w:name w:val="xl76"/>
    <w:basedOn w:val="72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8" w:customStyle="1">
    <w:name w:val="xl55"/>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9" w:customStyle="1">
    <w:name w:val="xl40"/>
    <w:basedOn w:val="72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65"/>
    <w:basedOn w:val="72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11" w:customStyle="1">
    <w:name w:val="xl4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2" w:customStyle="1">
    <w:name w:val="xl50"/>
    <w:basedOn w:val="72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3" w:customStyle="1">
    <w:name w:val="xl82"/>
    <w:basedOn w:val="72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4" w:customStyle="1">
    <w:name w:val="纯文本11"/>
    <w:basedOn w:val="720"/>
    <w:uiPriority w:val="0"/>
    <w:qFormat/>
    <w:rPr>
      <w:rFonts w:ascii="宋体" w:hAnsi="Courier New"/>
      <w:szCs w:val="20"/>
    </w:rPr>
  </w:style>
  <w:style w:type="paragraph" w:styleId="1015" w:customStyle="1">
    <w:name w:val="表格文字"/>
    <w:next w:val="736"/>
    <w:uiPriority w:val="0"/>
    <w:qFormat/>
    <w:rPr>
      <w:rFonts w:ascii="宋体" w:hAnsi="Times New Roman" w:eastAsia="宋体" w:cs="Times New Roman"/>
      <w:sz w:val="21"/>
      <w:szCs w:val="21"/>
      <w:lang w:val="en-US" w:eastAsia="zh-CN" w:bidi="ar-SA"/>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钱刚堂1</cp:lastModifiedBy>
  <cp:revision>5</cp:revision>
  <dcterms:created xsi:type="dcterms:W3CDTF">2025-11-24T02:33:00Z</dcterms:created>
  <dcterms:modified xsi:type="dcterms:W3CDTF">2025-12-09T03:44:28Z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859914C5D3D0447C988548A26ADDF757_13</vt:lpwstr>
  </property>
  <property fmtid="{D5CDD505-2E9C-101B-9397-08002B2CF9AE}" pid="4" name="KSOTemplateDocerSaveRecord">
    <vt:lpwstr>eyJoZGlkIjoiMDM2OGM3ZDRmNTQyMTRjMDA1MjAwYmY2YjUwMGRiYzIiLCJ1c2VySWQiOiI0Njc0NzgyMjgifQ==</vt:lpwstr>
  </property>
</Properties>
</file>